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9385" w14:textId="2448B28E" w:rsidR="003F16C2" w:rsidRPr="005A5862" w:rsidRDefault="003F16C2" w:rsidP="003F16C2">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w:t>
      </w:r>
      <w:r w:rsidRPr="005A5862">
        <w:rPr>
          <w:bCs/>
          <w:noProof w:val="0"/>
          <w:sz w:val="24"/>
          <w:szCs w:val="24"/>
        </w:rPr>
        <w:tab/>
        <w:t>R2-2</w:t>
      </w:r>
      <w:r>
        <w:rPr>
          <w:bCs/>
          <w:noProof w:val="0"/>
          <w:sz w:val="24"/>
          <w:szCs w:val="24"/>
        </w:rPr>
        <w:t>5</w:t>
      </w:r>
      <w:r w:rsidR="006229F6">
        <w:rPr>
          <w:bCs/>
          <w:noProof w:val="0"/>
          <w:sz w:val="24"/>
          <w:szCs w:val="24"/>
        </w:rPr>
        <w:t>057</w:t>
      </w:r>
      <w:r>
        <w:rPr>
          <w:bCs/>
          <w:noProof w:val="0"/>
          <w:sz w:val="24"/>
          <w:szCs w:val="24"/>
        </w:rPr>
        <w:t>1</w:t>
      </w:r>
      <w:r w:rsidR="006229F6">
        <w:rPr>
          <w:bCs/>
          <w:noProof w:val="0"/>
          <w:sz w:val="24"/>
          <w:szCs w:val="24"/>
        </w:rPr>
        <w:t>6</w:t>
      </w:r>
    </w:p>
    <w:p w14:paraId="78743A51" w14:textId="4F5C9B8C" w:rsidR="003F16C2" w:rsidRPr="005A5862" w:rsidRDefault="003F16C2" w:rsidP="003F16C2">
      <w:pPr>
        <w:pStyle w:val="Header"/>
        <w:tabs>
          <w:tab w:val="right" w:pos="9641"/>
        </w:tabs>
        <w:rPr>
          <w:rFonts w:eastAsia="SimSun"/>
          <w:bCs/>
          <w:sz w:val="24"/>
          <w:szCs w:val="24"/>
          <w:lang w:eastAsia="zh-CN"/>
        </w:rPr>
      </w:pPr>
      <w:r>
        <w:rPr>
          <w:sz w:val="24"/>
        </w:rPr>
        <w:t>Bengaluru, India</w:t>
      </w:r>
      <w:r w:rsidRPr="009C57AF">
        <w:rPr>
          <w:sz w:val="24"/>
        </w:rPr>
        <w:t xml:space="preserve">, </w:t>
      </w:r>
      <w:r>
        <w:rPr>
          <w:sz w:val="24"/>
        </w:rPr>
        <w:t>25</w:t>
      </w:r>
      <w:r w:rsidRPr="009C57AF">
        <w:rPr>
          <w:sz w:val="24"/>
        </w:rPr>
        <w:t xml:space="preserve"> – </w:t>
      </w:r>
      <w:r>
        <w:rPr>
          <w:sz w:val="24"/>
        </w:rPr>
        <w:t>29</w:t>
      </w:r>
      <w:r w:rsidRPr="009C57AF">
        <w:rPr>
          <w:sz w:val="24"/>
        </w:rPr>
        <w:t xml:space="preserve"> </w:t>
      </w:r>
      <w:r>
        <w:rPr>
          <w:sz w:val="24"/>
        </w:rPr>
        <w:t>August</w:t>
      </w:r>
      <w:r w:rsidRPr="009C57AF">
        <w:rPr>
          <w:sz w:val="24"/>
        </w:rPr>
        <w:t xml:space="preserve"> 2025</w:t>
      </w:r>
      <w:r>
        <w:rPr>
          <w:sz w:val="24"/>
        </w:rPr>
        <w:tab/>
      </w:r>
      <w:r w:rsidRPr="005A5862">
        <w:rPr>
          <w:sz w:val="24"/>
        </w:rPr>
        <w:tab/>
      </w:r>
    </w:p>
    <w:p w14:paraId="1DEE2FF0" w14:textId="77777777" w:rsidR="003F16C2" w:rsidRDefault="003F16C2" w:rsidP="003F16C2">
      <w:pPr>
        <w:pStyle w:val="Header"/>
        <w:rPr>
          <w:bCs/>
          <w:noProof w:val="0"/>
          <w:sz w:val="24"/>
        </w:rPr>
      </w:pPr>
    </w:p>
    <w:p w14:paraId="55B1BD10" w14:textId="159AB593" w:rsidR="003F16C2" w:rsidRPr="00B266B0" w:rsidRDefault="003F16C2" w:rsidP="003F16C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40ED">
        <w:rPr>
          <w:rFonts w:cs="Arial"/>
          <w:b/>
          <w:bCs/>
          <w:sz w:val="24"/>
          <w:lang w:eastAsia="ja-JP"/>
        </w:rPr>
        <w:t>8.8.4</w:t>
      </w:r>
    </w:p>
    <w:p w14:paraId="1EAEF577" w14:textId="77777777" w:rsidR="003F16C2" w:rsidRPr="00B266B0" w:rsidRDefault="003F16C2" w:rsidP="003F16C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90BAA3A" w14:textId="64092FA5" w:rsidR="003F16C2" w:rsidRDefault="003F16C2" w:rsidP="003F16C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40ED">
        <w:rPr>
          <w:rFonts w:ascii="Arial" w:hAnsi="Arial" w:cs="Arial"/>
          <w:b/>
          <w:bCs/>
          <w:sz w:val="24"/>
        </w:rPr>
        <w:t>Remaining Issues for MBS in NTN</w:t>
      </w:r>
    </w:p>
    <w:p w14:paraId="0F8E3E4D" w14:textId="45D40143" w:rsidR="003F16C2" w:rsidRPr="00B266B0" w:rsidRDefault="003F16C2" w:rsidP="003F16C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1938" w:rsidRPr="00181938">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9040ED">
        <w:rPr>
          <w:rFonts w:ascii="Arial" w:hAnsi="Arial" w:cs="Arial"/>
          <w:b/>
          <w:bCs/>
          <w:sz w:val="24"/>
        </w:rPr>
        <w:t>19</w:t>
      </w:r>
    </w:p>
    <w:p w14:paraId="5EF8D189" w14:textId="77777777" w:rsidR="003F16C2" w:rsidRPr="00B266B0" w:rsidRDefault="003F16C2" w:rsidP="003F16C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A8B4C24" w14:textId="77777777" w:rsidR="003F16C2" w:rsidRPr="006E13D1" w:rsidRDefault="003F16C2" w:rsidP="003F16C2">
      <w:pPr>
        <w:pStyle w:val="Heading1"/>
      </w:pPr>
      <w:r w:rsidRPr="006E13D1">
        <w:t>1</w:t>
      </w:r>
      <w:r w:rsidRPr="006E13D1">
        <w:tab/>
      </w:r>
      <w:r>
        <w:t>Introduction</w:t>
      </w:r>
    </w:p>
    <w:p w14:paraId="1CF4AC9D" w14:textId="23A29F18" w:rsidR="003F16C2" w:rsidRDefault="003F16C2" w:rsidP="003F16C2">
      <w:r>
        <w:t xml:space="preserve">This </w:t>
      </w:r>
      <w:proofErr w:type="spellStart"/>
      <w:r>
        <w:t>T</w:t>
      </w:r>
      <w:r w:rsidR="00904593">
        <w:t>D</w:t>
      </w:r>
      <w:r>
        <w:t>oc</w:t>
      </w:r>
      <w:proofErr w:type="spellEnd"/>
      <w:r>
        <w:t xml:space="preserve"> handles open issues </w:t>
      </w:r>
      <w:r w:rsidR="00246026">
        <w:t>regarding the</w:t>
      </w:r>
      <w:r>
        <w:t xml:space="preserve"> support of MBS for NR NTN such as</w:t>
      </w:r>
      <w:r w:rsidR="008265F0">
        <w:t>:</w:t>
      </w:r>
    </w:p>
    <w:p w14:paraId="718ECAF7" w14:textId="2D9D2C9A" w:rsidR="003F16C2" w:rsidRDefault="003F16C2" w:rsidP="003F16C2">
      <w:pPr>
        <w:pStyle w:val="ListParagraph"/>
        <w:numPr>
          <w:ilvl w:val="0"/>
          <w:numId w:val="21"/>
        </w:numPr>
      </w:pPr>
      <w:r>
        <w:t xml:space="preserve">Intended service area inclusion in Service announcement for MCCH reading based energy savings, also based on SA4 </w:t>
      </w:r>
      <w:proofErr w:type="gramStart"/>
      <w:r>
        <w:t>reply</w:t>
      </w:r>
      <w:proofErr w:type="gramEnd"/>
      <w:r>
        <w:t xml:space="preserve"> LS</w:t>
      </w:r>
    </w:p>
    <w:p w14:paraId="0E0D4DF6" w14:textId="293654BB" w:rsidR="003F16C2" w:rsidRDefault="003F16C2" w:rsidP="003F16C2">
      <w:pPr>
        <w:pStyle w:val="ListParagraph"/>
        <w:numPr>
          <w:ilvl w:val="0"/>
          <w:numId w:val="21"/>
        </w:numPr>
      </w:pPr>
      <w:r>
        <w:t xml:space="preserve">MII transmission </w:t>
      </w:r>
      <w:r w:rsidR="00C30EA4">
        <w:t>when the UE enters or leaves the</w:t>
      </w:r>
      <w:r>
        <w:t xml:space="preserve"> intended MBS service area</w:t>
      </w:r>
    </w:p>
    <w:p w14:paraId="5379969B" w14:textId="1C0ED86B" w:rsidR="008265F0" w:rsidRDefault="008265F0" w:rsidP="003F16C2">
      <w:pPr>
        <w:pStyle w:val="ListParagraph"/>
        <w:numPr>
          <w:ilvl w:val="0"/>
          <w:numId w:val="21"/>
        </w:numPr>
      </w:pPr>
      <w:r>
        <w:t>Broadcast area versus intended broadcast area</w:t>
      </w:r>
    </w:p>
    <w:p w14:paraId="2F747CF5" w14:textId="77777777" w:rsidR="003F16C2" w:rsidRDefault="003F16C2" w:rsidP="003F16C2">
      <w:pPr>
        <w:pStyle w:val="Heading1"/>
      </w:pPr>
      <w:r w:rsidRPr="006E13D1">
        <w:t>2</w:t>
      </w:r>
      <w:r w:rsidRPr="006E13D1">
        <w:tab/>
      </w:r>
      <w:r>
        <w:t>Discussion</w:t>
      </w:r>
    </w:p>
    <w:p w14:paraId="22EA8B63" w14:textId="77777777" w:rsidR="003F16C2" w:rsidRDefault="003F16C2" w:rsidP="003F16C2">
      <w:pPr>
        <w:pStyle w:val="Heading2"/>
      </w:pPr>
      <w:r>
        <w:t>2.1</w:t>
      </w:r>
      <w:r>
        <w:tab/>
        <w:t>ISA in Service Announcement</w:t>
      </w:r>
    </w:p>
    <w:p w14:paraId="1AF21A47" w14:textId="219821BE" w:rsidR="003F16C2" w:rsidRDefault="003F16C2" w:rsidP="003F16C2">
      <w:pPr>
        <w:jc w:val="both"/>
      </w:pPr>
      <w:r>
        <w:t xml:space="preserve">Intended Service Area in Service Announcement has been discussed in RAN2#129 based on </w:t>
      </w:r>
      <w:r>
        <w:fldChar w:fldCharType="begin"/>
      </w:r>
      <w:r>
        <w:instrText xml:space="preserve"> REF _Ref193377132 \r \h  \* MERGEFORMAT </w:instrText>
      </w:r>
      <w:r>
        <w:fldChar w:fldCharType="separate"/>
      </w:r>
      <w:r>
        <w:t>[15]</w:t>
      </w:r>
      <w:r>
        <w:fldChar w:fldCharType="end"/>
      </w:r>
      <w:r>
        <w:t xml:space="preserve">. The main motivation used by the authors of </w:t>
      </w:r>
      <w:r>
        <w:fldChar w:fldCharType="begin"/>
      </w:r>
      <w:r>
        <w:instrText xml:space="preserve"> REF _Ref193377132 \r \h  \* MERGEFORMAT </w:instrText>
      </w:r>
      <w:r>
        <w:fldChar w:fldCharType="separate"/>
      </w:r>
      <w:r>
        <w:t>[15]</w:t>
      </w:r>
      <w:r>
        <w:fldChar w:fldCharType="end"/>
      </w:r>
      <w:r>
        <w:t xml:space="preserve"> was to allow the UE to skip MCCH reading if the UE determined (based on Service Announcement) that it is outside of the ISA. An LS to SA4 and SA2 has been sent </w:t>
      </w:r>
      <w:r>
        <w:fldChar w:fldCharType="begin"/>
      </w:r>
      <w:r>
        <w:instrText xml:space="preserve"> REF _Ref193357867 \n \h  \* MERGEFORMAT </w:instrText>
      </w:r>
      <w:r>
        <w:fldChar w:fldCharType="separate"/>
      </w:r>
      <w:r>
        <w:t>[14]</w:t>
      </w:r>
      <w:r>
        <w:fldChar w:fldCharType="end"/>
      </w:r>
      <w:r>
        <w:t xml:space="preserve"> asking about the feasibility of such scheme in Release 19 timeframe. </w:t>
      </w:r>
      <w:r w:rsidR="00564F82">
        <w:t>SA</w:t>
      </w:r>
      <w:r>
        <w:t>4 has provided the following reply to the LS</w:t>
      </w:r>
      <w:r w:rsidR="004D3903">
        <w:t xml:space="preserve"> </w:t>
      </w:r>
      <w:r w:rsidR="004D3903">
        <w:fldChar w:fldCharType="begin"/>
      </w:r>
      <w:r w:rsidR="004D3903">
        <w:instrText xml:space="preserve"> REF _Ref205985426 \r \h </w:instrText>
      </w:r>
      <w:r w:rsidR="004D3903">
        <w:fldChar w:fldCharType="separate"/>
      </w:r>
      <w:r w:rsidR="004D3903">
        <w:t>[20]</w:t>
      </w:r>
      <w:r w:rsidR="004D3903">
        <w:fldChar w:fldCharType="end"/>
      </w:r>
      <w:r w:rsidR="00BE5E30">
        <w:t>:</w:t>
      </w:r>
    </w:p>
    <w:tbl>
      <w:tblPr>
        <w:tblStyle w:val="TableGrid"/>
        <w:tblW w:w="0" w:type="auto"/>
        <w:tblLook w:val="04A0" w:firstRow="1" w:lastRow="0" w:firstColumn="1" w:lastColumn="0" w:noHBand="0" w:noVBand="1"/>
      </w:tblPr>
      <w:tblGrid>
        <w:gridCol w:w="9631"/>
      </w:tblGrid>
      <w:tr w:rsidR="003F16C2" w14:paraId="097AE3C7" w14:textId="77777777" w:rsidTr="00F01DCA">
        <w:tc>
          <w:tcPr>
            <w:tcW w:w="9631" w:type="dxa"/>
          </w:tcPr>
          <w:p w14:paraId="54E6C9F1" w14:textId="77777777" w:rsidR="003F16C2" w:rsidRPr="00E43BFB" w:rsidRDefault="003F16C2" w:rsidP="00F01DCA">
            <w:pPr>
              <w:jc w:val="both"/>
              <w:rPr>
                <w:lang w:val="en-US"/>
              </w:rPr>
            </w:pPr>
            <w:r w:rsidRPr="00E43BFB">
              <w:rPr>
                <w:lang w:val="en-US"/>
              </w:rPr>
              <w:t xml:space="preserve">SA4 thanks RAN2 for bringing up the topic of “MBS via NTN”. SA4 is still studying the realization for including an Intended Service Area into Service announcement, leveraging the RAN2 Work Item code </w:t>
            </w:r>
            <w:r w:rsidRPr="00E43BFB">
              <w:rPr>
                <w:bCs/>
                <w:lang w:val="en-US"/>
              </w:rPr>
              <w:t>NR_NTN_Ph3-Core</w:t>
            </w:r>
            <w:r w:rsidRPr="00E43BFB">
              <w:rPr>
                <w:lang w:val="en-US"/>
              </w:rPr>
              <w:t xml:space="preserve">. </w:t>
            </w:r>
          </w:p>
          <w:p w14:paraId="34DE0C93" w14:textId="77777777" w:rsidR="003F16C2" w:rsidRPr="00E43BFB" w:rsidRDefault="003F16C2" w:rsidP="00F01DCA">
            <w:pPr>
              <w:jc w:val="both"/>
              <w:rPr>
                <w:lang w:val="en-US"/>
              </w:rPr>
            </w:pPr>
            <w:r w:rsidRPr="00E43BFB">
              <w:rPr>
                <w:lang w:val="en-US"/>
              </w:rPr>
              <w:t xml:space="preserve">SA4 has agreed to extend the Service Announcement and add a targeted service area in </w:t>
            </w:r>
            <w:proofErr w:type="gramStart"/>
            <w:r w:rsidRPr="00E43BFB">
              <w:rPr>
                <w:lang w:val="en-US"/>
              </w:rPr>
              <w:t>form</w:t>
            </w:r>
            <w:proofErr w:type="gramEnd"/>
            <w:r w:rsidRPr="00E43BFB">
              <w:rPr>
                <w:lang w:val="en-US"/>
              </w:rPr>
              <w:t xml:space="preserve"> of a list of polygon or circle shapes. However, SA4 is still discussing the technical realization and possibly a generalization, so that the target service area can be extended to represents the intended service area in </w:t>
            </w:r>
            <w:proofErr w:type="gramStart"/>
            <w:r w:rsidRPr="00E43BFB">
              <w:rPr>
                <w:lang w:val="en-US"/>
              </w:rPr>
              <w:t>case</w:t>
            </w:r>
            <w:proofErr w:type="gramEnd"/>
            <w:r w:rsidRPr="00E43BFB">
              <w:rPr>
                <w:lang w:val="en-US"/>
              </w:rPr>
              <w:t xml:space="preserve"> of NR NTN.</w:t>
            </w:r>
          </w:p>
          <w:p w14:paraId="45953E11" w14:textId="77777777" w:rsidR="003F16C2" w:rsidRPr="00E43BFB" w:rsidRDefault="003F16C2" w:rsidP="00F01DCA">
            <w:pPr>
              <w:jc w:val="both"/>
              <w:rPr>
                <w:lang w:val="en-US"/>
              </w:rPr>
            </w:pPr>
            <w:r w:rsidRPr="00E43BFB">
              <w:rPr>
                <w:lang w:val="en-US"/>
              </w:rPr>
              <w:t>SA4 confirms, that inclusion of the geographical information, i.e. in form of list of polygon or circle shapes in the Service Announcement can be supported within the Rel-19 timeframe.</w:t>
            </w:r>
          </w:p>
        </w:tc>
      </w:tr>
    </w:tbl>
    <w:p w14:paraId="5051500A" w14:textId="788EF4E6" w:rsidR="003F16C2" w:rsidRDefault="00096687" w:rsidP="003F16C2">
      <w:pPr>
        <w:jc w:val="both"/>
      </w:pPr>
      <w:r>
        <w:br/>
      </w:r>
      <w:r w:rsidR="003F16C2">
        <w:t>Our understanding of the LS reply is that SA4 has agreed to extend the Service Announcements by adding the targeted service area. Although, this agreement is indeed stating that it may be possible to include the area, the work has not progressed in SA4 and a request for SA4 work at this point in the WI will result in a workload across working groups which does not match the gain.</w:t>
      </w:r>
    </w:p>
    <w:p w14:paraId="5A78815F" w14:textId="1F56244D" w:rsidR="003F16C2" w:rsidRDefault="003F16C2" w:rsidP="003F16C2">
      <w:pPr>
        <w:jc w:val="both"/>
      </w:pPr>
      <w:r>
        <w:t xml:space="preserve">One disadvantage of the originally proposed approach is that it not only requires extra information in the Service </w:t>
      </w:r>
      <w:r w:rsidR="008265F0">
        <w:t>Announcement but</w:t>
      </w:r>
      <w:r>
        <w:t xml:space="preserve"> also introduces new requirements to the application function (AF) and also to Multicast/Broadcast Service Function (MBSF). As such, RAN should not rely on such solutions and instead focus on RAN-centric ones.</w:t>
      </w:r>
    </w:p>
    <w:p w14:paraId="5C080F5F" w14:textId="46BB647B" w:rsidR="003F16C2" w:rsidRPr="0074387C" w:rsidRDefault="003F16C2" w:rsidP="003F16C2">
      <w:pPr>
        <w:jc w:val="both"/>
        <w:rPr>
          <w:b/>
          <w:bCs/>
        </w:rPr>
      </w:pPr>
      <w:r w:rsidRPr="0074387C">
        <w:rPr>
          <w:b/>
          <w:bCs/>
        </w:rPr>
        <w:t xml:space="preserve">Observation </w:t>
      </w:r>
      <w:r>
        <w:rPr>
          <w:b/>
          <w:bCs/>
        </w:rPr>
        <w:t>1</w:t>
      </w:r>
      <w:r w:rsidRPr="0074387C">
        <w:rPr>
          <w:b/>
          <w:bCs/>
        </w:rPr>
        <w:t xml:space="preserve">: Including ISA in Service Announcement </w:t>
      </w:r>
      <w:r>
        <w:rPr>
          <w:b/>
          <w:bCs/>
        </w:rPr>
        <w:t>may provide the UE with limited power saving options, which are not relevant to completing the NTN WI scope.</w:t>
      </w:r>
    </w:p>
    <w:p w14:paraId="5837050D" w14:textId="22483C9A" w:rsidR="00265937" w:rsidRPr="00265937" w:rsidRDefault="00265937" w:rsidP="003F16C2">
      <w:pPr>
        <w:jc w:val="both"/>
        <w:rPr>
          <w:b/>
          <w:bCs/>
        </w:rPr>
      </w:pPr>
      <w:r>
        <w:rPr>
          <w:b/>
          <w:bCs/>
        </w:rPr>
        <w:t>Observation 2: SA4 response states that additional work indeed is needed to complete the ISA in Service announcement for NR NTN.</w:t>
      </w:r>
    </w:p>
    <w:p w14:paraId="3C42A500" w14:textId="2A96047D" w:rsidR="003F16C2" w:rsidRDefault="003F16C2" w:rsidP="003F16C2">
      <w:pPr>
        <w:jc w:val="both"/>
      </w:pPr>
      <w:r>
        <w:lastRenderedPageBreak/>
        <w:t xml:space="preserve">Additionally to the AF and MBSF impact, the proposed solution might require a coordination between the operator and the application function if the application shall know about ISA. Eventually, AF does not need to know that certain service is transmitted via NTN RAN and not the “ordinary” TN. </w:t>
      </w:r>
    </w:p>
    <w:p w14:paraId="63C0C3A5" w14:textId="1E0A999A" w:rsidR="003F16C2" w:rsidRDefault="003F16C2" w:rsidP="003F16C2">
      <w:pPr>
        <w:jc w:val="both"/>
        <w:rPr>
          <w:b/>
          <w:bCs/>
        </w:rPr>
      </w:pPr>
      <w:r w:rsidRPr="00762C69">
        <w:rPr>
          <w:b/>
          <w:bCs/>
        </w:rPr>
        <w:t xml:space="preserve">Observation </w:t>
      </w:r>
      <w:r w:rsidR="00265937">
        <w:rPr>
          <w:b/>
          <w:bCs/>
        </w:rPr>
        <w:t>3</w:t>
      </w:r>
      <w:r w:rsidRPr="00762C69">
        <w:rPr>
          <w:b/>
          <w:bCs/>
        </w:rPr>
        <w:t xml:space="preserve">: </w:t>
      </w:r>
      <w:r>
        <w:rPr>
          <w:b/>
          <w:bCs/>
        </w:rPr>
        <w:t xml:space="preserve">ISA in Service Announcement will result in </w:t>
      </w:r>
      <w:r w:rsidRPr="00A338C7">
        <w:rPr>
          <w:b/>
          <w:bCs/>
        </w:rPr>
        <w:t>new requirements to the application function (AF) and also to Multicast/Broadcast Service Function (MBSF).</w:t>
      </w:r>
    </w:p>
    <w:p w14:paraId="751E7831" w14:textId="1E75E136" w:rsidR="003F16C2" w:rsidRPr="00762C69" w:rsidRDefault="003F16C2" w:rsidP="003F16C2">
      <w:pPr>
        <w:jc w:val="both"/>
        <w:rPr>
          <w:b/>
          <w:bCs/>
        </w:rPr>
      </w:pPr>
      <w:r>
        <w:rPr>
          <w:b/>
          <w:bCs/>
        </w:rPr>
        <w:t xml:space="preserve">Observation </w:t>
      </w:r>
      <w:r w:rsidR="00265937">
        <w:rPr>
          <w:b/>
          <w:bCs/>
        </w:rPr>
        <w:t>4</w:t>
      </w:r>
      <w:r>
        <w:rPr>
          <w:b/>
          <w:bCs/>
        </w:rPr>
        <w:t>: ISA in Service Announcement</w:t>
      </w:r>
      <w:r w:rsidRPr="00A338C7">
        <w:rPr>
          <w:b/>
          <w:bCs/>
        </w:rPr>
        <w:t xml:space="preserve"> might require a coordination between the operator and the application function if the application shall know about ISA</w:t>
      </w:r>
      <w:r>
        <w:rPr>
          <w:b/>
          <w:bCs/>
        </w:rPr>
        <w:t>.</w:t>
      </w:r>
    </w:p>
    <w:p w14:paraId="2CF5D52E" w14:textId="77777777" w:rsidR="003F16C2" w:rsidRDefault="003F16C2" w:rsidP="003F16C2">
      <w:pPr>
        <w:jc w:val="both"/>
      </w:pPr>
      <w:r>
        <w:t xml:space="preserve">Thus, in our view the gains of ISA in Service Announcement are too small compared to the pain of introducing this. </w:t>
      </w:r>
    </w:p>
    <w:p w14:paraId="6E001668" w14:textId="17B37766" w:rsidR="003F16C2" w:rsidRPr="00762C69" w:rsidRDefault="003F16C2" w:rsidP="003F16C2">
      <w:pPr>
        <w:jc w:val="both"/>
        <w:rPr>
          <w:b/>
          <w:bCs/>
        </w:rPr>
      </w:pPr>
      <w:r w:rsidRPr="00762C69">
        <w:rPr>
          <w:b/>
          <w:bCs/>
        </w:rPr>
        <w:t xml:space="preserve">Proposal </w:t>
      </w:r>
      <w:r>
        <w:rPr>
          <w:b/>
          <w:bCs/>
        </w:rPr>
        <w:t>1</w:t>
      </w:r>
      <w:r w:rsidRPr="00762C69">
        <w:rPr>
          <w:b/>
          <w:bCs/>
        </w:rPr>
        <w:t>:</w:t>
      </w:r>
      <w:r>
        <w:rPr>
          <w:b/>
          <w:bCs/>
        </w:rPr>
        <w:t xml:space="preserve"> RAN2 does not consider including ISA in Service Announcement, irrespective of the SA4 </w:t>
      </w:r>
      <w:r w:rsidR="00726879">
        <w:rPr>
          <w:b/>
          <w:bCs/>
        </w:rPr>
        <w:t>conclusion</w:t>
      </w:r>
      <w:r w:rsidR="00686A72">
        <w:rPr>
          <w:b/>
          <w:bCs/>
        </w:rPr>
        <w:t>s on targeted service</w:t>
      </w:r>
      <w:r w:rsidR="00932767">
        <w:rPr>
          <w:b/>
          <w:bCs/>
        </w:rPr>
        <w:t xml:space="preserve"> </w:t>
      </w:r>
      <w:r w:rsidR="00686A72">
        <w:rPr>
          <w:b/>
          <w:bCs/>
        </w:rPr>
        <w:t>area in Service Announcement</w:t>
      </w:r>
      <w:r>
        <w:rPr>
          <w:b/>
          <w:bCs/>
        </w:rPr>
        <w:t xml:space="preserve">. </w:t>
      </w:r>
    </w:p>
    <w:p w14:paraId="146885AD" w14:textId="199849E5" w:rsidR="003F16C2" w:rsidRDefault="003F16C2" w:rsidP="003F16C2">
      <w:pPr>
        <w:pStyle w:val="Heading2"/>
      </w:pPr>
      <w:r>
        <w:t>2.2</w:t>
      </w:r>
      <w:r>
        <w:tab/>
        <w:t>Broadcast service area</w:t>
      </w:r>
    </w:p>
    <w:p w14:paraId="08DCF4EC" w14:textId="77777777" w:rsidR="003F16C2" w:rsidRDefault="003F16C2" w:rsidP="003F16C2">
      <w:r>
        <w:t>At RAN2#127bis the following has been discussed and not resolved:</w:t>
      </w:r>
    </w:p>
    <w:tbl>
      <w:tblPr>
        <w:tblStyle w:val="TableGrid"/>
        <w:tblW w:w="0" w:type="auto"/>
        <w:tblLook w:val="04A0" w:firstRow="1" w:lastRow="0" w:firstColumn="1" w:lastColumn="0" w:noHBand="0" w:noVBand="1"/>
      </w:tblPr>
      <w:tblGrid>
        <w:gridCol w:w="9631"/>
      </w:tblGrid>
      <w:tr w:rsidR="003F16C2" w14:paraId="257D10C4" w14:textId="77777777" w:rsidTr="00F01DCA">
        <w:tc>
          <w:tcPr>
            <w:tcW w:w="9631" w:type="dxa"/>
          </w:tcPr>
          <w:p w14:paraId="1FACC89E" w14:textId="77777777" w:rsidR="003F16C2" w:rsidRDefault="003F16C2" w:rsidP="00F01DCA">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429928CB" w14:textId="77777777" w:rsidR="003F16C2" w:rsidRDefault="003F16C2" w:rsidP="00F01DCA">
            <w:pPr>
              <w:pStyle w:val="Doc-text2"/>
              <w:rPr>
                <w:lang w:val="en-US" w:eastAsia="ko-KR"/>
              </w:rPr>
            </w:pPr>
            <w:r>
              <w:rPr>
                <w:lang w:val="en-US" w:eastAsia="ko-KR"/>
              </w:rPr>
              <w:t>-</w:t>
            </w:r>
            <w:r>
              <w:rPr>
                <w:lang w:val="en-US" w:eastAsia="ko-KR"/>
              </w:rPr>
              <w:tab/>
              <w:t>QC thinks this is up to UE and there is nothing to reflect in the spec. Xiaomi agrees</w:t>
            </w:r>
          </w:p>
          <w:p w14:paraId="08BED3F5" w14:textId="77777777" w:rsidR="003F16C2" w:rsidRDefault="003F16C2" w:rsidP="00F01DCA">
            <w:pPr>
              <w:pStyle w:val="Doc-text2"/>
              <w:rPr>
                <w:lang w:val="en-US" w:eastAsia="ko-KR"/>
              </w:rPr>
            </w:pPr>
            <w:r>
              <w:rPr>
                <w:lang w:val="en-US" w:eastAsia="ko-KR"/>
              </w:rPr>
              <w:t>-</w:t>
            </w:r>
            <w:r>
              <w:rPr>
                <w:lang w:val="en-US" w:eastAsia="ko-KR"/>
              </w:rPr>
              <w:tab/>
              <w:t xml:space="preserve">HW thinks that when entering the area this makes </w:t>
            </w:r>
            <w:proofErr w:type="gramStart"/>
            <w:r>
              <w:rPr>
                <w:lang w:val="en-US" w:eastAsia="ko-KR"/>
              </w:rPr>
              <w:t>sense, but</w:t>
            </w:r>
            <w:proofErr w:type="gramEnd"/>
            <w:r>
              <w:rPr>
                <w:lang w:val="en-US" w:eastAsia="ko-KR"/>
              </w:rPr>
              <w:t xml:space="preserve"> wonder about the case when the UE leaves the area.</w:t>
            </w:r>
          </w:p>
          <w:p w14:paraId="1BD61A2D" w14:textId="77777777" w:rsidR="003F16C2" w:rsidRDefault="003F16C2" w:rsidP="00F01DCA">
            <w:pPr>
              <w:pStyle w:val="Doc-text2"/>
              <w:rPr>
                <w:lang w:val="en-US" w:eastAsia="ko-KR"/>
              </w:rPr>
            </w:pPr>
            <w:r>
              <w:rPr>
                <w:lang w:val="en-US" w:eastAsia="ko-KR"/>
              </w:rPr>
              <w:t>-</w:t>
            </w:r>
            <w:r>
              <w:rPr>
                <w:lang w:val="en-US" w:eastAsia="ko-KR"/>
              </w:rPr>
              <w:tab/>
              <w:t xml:space="preserve">Apple thinks the UE could initiate the MII procedure in any case and then it’s up to NW implementation how to behave. LG agrees with Apple. Oppo also agrees. CMCC thinks in this case </w:t>
            </w:r>
            <w:proofErr w:type="gramStart"/>
            <w:r>
              <w:rPr>
                <w:lang w:val="en-US" w:eastAsia="ko-KR"/>
              </w:rPr>
              <w:t>the NW</w:t>
            </w:r>
            <w:proofErr w:type="gramEnd"/>
            <w:r>
              <w:rPr>
                <w:lang w:val="en-US" w:eastAsia="ko-KR"/>
              </w:rPr>
              <w:t xml:space="preserve"> has no idea of the UE location in this case.</w:t>
            </w:r>
          </w:p>
          <w:p w14:paraId="7FB6DE5A" w14:textId="77777777" w:rsidR="003F16C2" w:rsidRPr="00823ED8" w:rsidRDefault="003F16C2" w:rsidP="00F01DCA">
            <w:pPr>
              <w:pStyle w:val="Agreement"/>
              <w:rPr>
                <w:lang w:val="en-US" w:eastAsia="ko-KR"/>
              </w:rPr>
            </w:pPr>
            <w:r>
              <w:rPr>
                <w:lang w:val="en-US" w:eastAsia="ko-KR"/>
              </w:rPr>
              <w:t xml:space="preserve">Come back in the next meeting </w:t>
            </w:r>
          </w:p>
        </w:tc>
      </w:tr>
    </w:tbl>
    <w:p w14:paraId="312C7082" w14:textId="137DF6C6" w:rsidR="0084785A" w:rsidRDefault="0084785A" w:rsidP="003F16C2">
      <w:r>
        <w:br/>
      </w:r>
      <w:r w:rsidR="003F16C2">
        <w:t>RAN2#130 opened a discussion based on R2-25</w:t>
      </w:r>
      <w:r w:rsidR="00275E00">
        <w:t>03560</w:t>
      </w:r>
      <w:r w:rsidR="003F16C2">
        <w:t xml:space="preserve"> on whether the term broadcast area referred to the intended service area and not a hard line of the where MBS session content is available, this understanding should be captured in the spec i.e. stage 2</w:t>
      </w:r>
      <w:r w:rsidR="00354B02">
        <w:t xml:space="preserve"> </w:t>
      </w:r>
      <w:r w:rsidR="00D01CFF">
        <w:fldChar w:fldCharType="begin"/>
      </w:r>
      <w:r w:rsidR="00D01CFF">
        <w:instrText xml:space="preserve"> REF _Ref206061009 \r \h </w:instrText>
      </w:r>
      <w:r w:rsidR="00D01CFF">
        <w:fldChar w:fldCharType="separate"/>
      </w:r>
      <w:r w:rsidR="00D01CFF">
        <w:t>[21]</w:t>
      </w:r>
      <w:r w:rsidR="00D01CFF">
        <w:fldChar w:fldCharType="end"/>
      </w:r>
      <w:r>
        <w:t>:</w:t>
      </w:r>
      <w:r w:rsidR="003F16C2">
        <w:t xml:space="preserve"> </w:t>
      </w:r>
    </w:p>
    <w:tbl>
      <w:tblPr>
        <w:tblStyle w:val="TableGrid"/>
        <w:tblW w:w="0" w:type="auto"/>
        <w:tblLook w:val="04A0" w:firstRow="1" w:lastRow="0" w:firstColumn="1" w:lastColumn="0" w:noHBand="0" w:noVBand="1"/>
      </w:tblPr>
      <w:tblGrid>
        <w:gridCol w:w="9631"/>
      </w:tblGrid>
      <w:tr w:rsidR="0084785A" w14:paraId="2BAAA529" w14:textId="77777777">
        <w:tc>
          <w:tcPr>
            <w:tcW w:w="9631" w:type="dxa"/>
          </w:tcPr>
          <w:p w14:paraId="74C68260" w14:textId="77777777" w:rsidR="0084785A" w:rsidRDefault="0084785A" w:rsidP="0084785A">
            <w:pPr>
              <w:pStyle w:val="Doc-title"/>
              <w:rPr>
                <w:rFonts w:eastAsiaTheme="minorEastAsia"/>
              </w:rPr>
            </w:pPr>
            <w:hyperlink r:id="rId12" w:history="1">
              <w:r>
                <w:rPr>
                  <w:rStyle w:val="Hyperlink"/>
                  <w:rFonts w:eastAsiaTheme="minorEastAsia"/>
                </w:rPr>
                <w:t>R2-2503560</w:t>
              </w:r>
            </w:hyperlink>
            <w:r w:rsidRPr="00BB07BA">
              <w:rPr>
                <w:rFonts w:eastAsiaTheme="minorEastAsia"/>
              </w:rPr>
              <w:tab/>
              <w:t>Discussions on supporting broadcast service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14:paraId="7E84A3BE" w14:textId="77777777" w:rsidR="0084785A" w:rsidRPr="002A4EC8" w:rsidRDefault="0084785A" w:rsidP="0084785A">
            <w:pPr>
              <w:pStyle w:val="Comments"/>
              <w:rPr>
                <w:lang w:val="en-US"/>
              </w:rPr>
            </w:pPr>
            <w:r w:rsidRPr="002A4EC8">
              <w:rPr>
                <w:lang w:val="en-US"/>
              </w:rPr>
              <w:t>Observation 1: Behaviours with respect to the initiation of MII procedure upon entering or leaving the area of broadcast service has already been defined.</w:t>
            </w:r>
          </w:p>
          <w:p w14:paraId="418AAE6D" w14:textId="77777777" w:rsidR="0084785A" w:rsidRDefault="0084785A" w:rsidP="0084785A">
            <w:pPr>
              <w:pStyle w:val="Comments"/>
              <w:rPr>
                <w:lang w:val="en-US"/>
              </w:rPr>
            </w:pPr>
            <w:r w:rsidRPr="002A4EC8">
              <w:rPr>
                <w:lang w:val="en-US"/>
              </w:rPr>
              <w:t>Proposal 1: RAN2 to confirm that, with respect to the MBS service, the term ‘broadcast service area’ refers to the ‘intended service area’. It could be captured in Stage 2 specification.</w:t>
            </w:r>
          </w:p>
          <w:p w14:paraId="3CDAA9A3" w14:textId="00C15B1A" w:rsidR="0084785A" w:rsidRPr="00C23144" w:rsidRDefault="0084785A" w:rsidP="00C23144">
            <w:pPr>
              <w:pStyle w:val="Agreement"/>
              <w:rPr>
                <w:lang w:val="en-US"/>
              </w:rPr>
            </w:pPr>
            <w:r>
              <w:rPr>
                <w:lang w:val="en-US"/>
              </w:rPr>
              <w:t xml:space="preserve">Come back </w:t>
            </w:r>
            <w:proofErr w:type="gramStart"/>
            <w:r>
              <w:rPr>
                <w:lang w:val="en-US"/>
              </w:rPr>
              <w:t>in</w:t>
            </w:r>
            <w:proofErr w:type="gramEnd"/>
            <w:r>
              <w:rPr>
                <w:lang w:val="en-US"/>
              </w:rPr>
              <w:t xml:space="preserve"> the next meeting</w:t>
            </w:r>
          </w:p>
        </w:tc>
      </w:tr>
    </w:tbl>
    <w:p w14:paraId="70E587CA" w14:textId="02B99885" w:rsidR="003F16C2" w:rsidRDefault="0084785A" w:rsidP="003F16C2">
      <w:r>
        <w:br/>
      </w:r>
      <w:r w:rsidR="003F16C2">
        <w:t>This understanding is even more prominent if the broadcast area is a polygon rather than a circle, which is not feasible to limit actual signal transmission to.</w:t>
      </w:r>
    </w:p>
    <w:p w14:paraId="309732EA" w14:textId="20F211ED" w:rsidR="003F16C2" w:rsidRDefault="003F16C2" w:rsidP="003F16C2">
      <w:r>
        <w:t>We don’t see a specific reason that the UE would be confused on the definition of area since legacy areas are already not defined by where physical signals are bounded. The discussion also mentions that there are no need to define additional MBS Interest Indication (MII) events, w</w:t>
      </w:r>
      <w:r w:rsidR="00252437">
        <w:t>hich we see no advantages to</w:t>
      </w:r>
      <w:r w:rsidR="00040974">
        <w:t xml:space="preserve"> have introduced</w:t>
      </w:r>
      <w:r>
        <w:t>.</w:t>
      </w:r>
    </w:p>
    <w:p w14:paraId="25FADB64" w14:textId="1D4C8BDB" w:rsidR="00265937" w:rsidRPr="00265937" w:rsidRDefault="00265937" w:rsidP="003F16C2">
      <w:pPr>
        <w:rPr>
          <w:b/>
          <w:bCs/>
        </w:rPr>
      </w:pPr>
      <w:r w:rsidRPr="0043291B">
        <w:rPr>
          <w:b/>
          <w:bCs/>
        </w:rPr>
        <w:t xml:space="preserve">Proposal </w:t>
      </w:r>
      <w:r w:rsidR="00932767">
        <w:rPr>
          <w:b/>
          <w:bCs/>
        </w:rPr>
        <w:t>2</w:t>
      </w:r>
      <w:r w:rsidRPr="0043291B">
        <w:rPr>
          <w:b/>
          <w:bCs/>
        </w:rPr>
        <w:t>: There is no need to explicitly define that the broadcast service area from a physics perspective may be different than the intended</w:t>
      </w:r>
      <w:r w:rsidR="00040974">
        <w:rPr>
          <w:b/>
          <w:bCs/>
        </w:rPr>
        <w:t xml:space="preserve"> service area</w:t>
      </w:r>
      <w:r w:rsidRPr="0043291B">
        <w:rPr>
          <w:b/>
          <w:bCs/>
        </w:rPr>
        <w:t>.</w:t>
      </w:r>
    </w:p>
    <w:p w14:paraId="10320AFD" w14:textId="667D8FD0" w:rsidR="001E53AB" w:rsidRPr="00265937" w:rsidRDefault="001E53AB" w:rsidP="00C23144">
      <w:pPr>
        <w:pStyle w:val="Heading2"/>
      </w:pPr>
      <w:r>
        <w:t>2.3</w:t>
      </w:r>
      <w:r>
        <w:tab/>
      </w:r>
      <w:r w:rsidR="000B1350">
        <w:t>On MBS Interest Indication</w:t>
      </w:r>
    </w:p>
    <w:p w14:paraId="33890F74" w14:textId="786ED803" w:rsidR="003F16C2" w:rsidRDefault="000B1350" w:rsidP="003F16C2">
      <w:r>
        <w:t>Another open point is the MBS Interest indication</w:t>
      </w:r>
      <w:r w:rsidR="00DC2525">
        <w:t>. In</w:t>
      </w:r>
      <w:r w:rsidR="003F16C2">
        <w:t xml:space="preserve"> section 5.9.4.2 of </w:t>
      </w:r>
      <w:r w:rsidR="003F16C2">
        <w:fldChar w:fldCharType="begin"/>
      </w:r>
      <w:r w:rsidR="003F16C2">
        <w:instrText xml:space="preserve"> REF _Ref187160805 \r \h </w:instrText>
      </w:r>
      <w:r w:rsidR="003F16C2">
        <w:fldChar w:fldCharType="separate"/>
      </w:r>
      <w:r w:rsidR="00D01CFF">
        <w:t>[7]</w:t>
      </w:r>
      <w:r w:rsidR="003F16C2">
        <w:fldChar w:fldCharType="end"/>
      </w:r>
      <w:r w:rsidR="003F16C2">
        <w:t xml:space="preserve"> the following text can be found:</w:t>
      </w:r>
    </w:p>
    <w:tbl>
      <w:tblPr>
        <w:tblStyle w:val="TableGrid"/>
        <w:tblW w:w="0" w:type="auto"/>
        <w:tblLook w:val="04A0" w:firstRow="1" w:lastRow="0" w:firstColumn="1" w:lastColumn="0" w:noHBand="0" w:noVBand="1"/>
      </w:tblPr>
      <w:tblGrid>
        <w:gridCol w:w="9631"/>
      </w:tblGrid>
      <w:tr w:rsidR="003F16C2" w14:paraId="47F35820" w14:textId="77777777" w:rsidTr="00F01DCA">
        <w:tc>
          <w:tcPr>
            <w:tcW w:w="9631" w:type="dxa"/>
          </w:tcPr>
          <w:p w14:paraId="2C22A3D1" w14:textId="77777777" w:rsidR="003F16C2" w:rsidRDefault="003F16C2" w:rsidP="00F01DCA">
            <w:r w:rsidRPr="00C3353C">
              <w:rPr>
                <w:lang w:eastAsia="zh-CN"/>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C3353C">
              <w:rPr>
                <w:lang w:eastAsia="zh-CN"/>
              </w:rPr>
              <w:t>PCell</w:t>
            </w:r>
            <w:proofErr w:type="spellEnd"/>
            <w:r w:rsidRPr="00C3353C">
              <w:rPr>
                <w:lang w:eastAsia="zh-CN"/>
              </w:rPr>
              <w:t xml:space="preserve"> providing </w:t>
            </w:r>
            <w:r w:rsidRPr="00C3353C">
              <w:rPr>
                <w:i/>
                <w:lang w:eastAsia="zh-CN"/>
              </w:rPr>
              <w:t>SIB21</w:t>
            </w:r>
            <w:r w:rsidRPr="00C3353C">
              <w:rPr>
                <w:lang w:eastAsia="zh-CN"/>
              </w:rPr>
              <w:t xml:space="preserve"> (i.e. where the </w:t>
            </w:r>
            <w:r w:rsidRPr="00C3353C">
              <w:rPr>
                <w:i/>
                <w:lang w:eastAsia="zh-CN"/>
              </w:rPr>
              <w:t>SIB1</w:t>
            </w:r>
            <w:r w:rsidRPr="00C3353C">
              <w:rPr>
                <w:lang w:eastAsia="zh-CN"/>
              </w:rPr>
              <w:t xml:space="preserve"> scheduling information contains </w:t>
            </w:r>
            <w:r w:rsidRPr="00C3353C">
              <w:rPr>
                <w:i/>
                <w:lang w:eastAsia="zh-CN"/>
              </w:rPr>
              <w:t>SIB21</w:t>
            </w:r>
            <w:r w:rsidRPr="00C3353C">
              <w:rPr>
                <w:lang w:eastAsia="zh-CN"/>
              </w:rPr>
              <w:t xml:space="preserve">), upon receiving </w:t>
            </w:r>
            <w:r w:rsidRPr="00C3353C">
              <w:rPr>
                <w:i/>
                <w:lang w:eastAsia="zh-CN"/>
              </w:rPr>
              <w:t>SIB20</w:t>
            </w:r>
            <w:r w:rsidRPr="00C3353C">
              <w:rPr>
                <w:lang w:eastAsia="zh-CN"/>
              </w:rPr>
              <w:t xml:space="preserve"> of an </w:t>
            </w:r>
            <w:proofErr w:type="spellStart"/>
            <w:r w:rsidRPr="00C3353C">
              <w:rPr>
                <w:lang w:eastAsia="zh-CN"/>
              </w:rPr>
              <w:t>SCell</w:t>
            </w:r>
            <w:proofErr w:type="spellEnd"/>
            <w:r w:rsidRPr="00C3353C">
              <w:rPr>
                <w:lang w:eastAsia="zh-CN"/>
              </w:rPr>
              <w:t xml:space="preserve"> via dedicated signalling, upon handover, and upon RRC connection re-establishment, </w:t>
            </w:r>
            <w:r w:rsidRPr="00C3353C">
              <w:rPr>
                <w:bCs/>
                <w:lang w:eastAsia="zh-CN"/>
              </w:rPr>
              <w:t xml:space="preserve">upon change to a </w:t>
            </w:r>
            <w:proofErr w:type="spellStart"/>
            <w:r w:rsidRPr="00C3353C">
              <w:rPr>
                <w:bCs/>
                <w:lang w:eastAsia="zh-CN"/>
              </w:rPr>
              <w:t>PCell</w:t>
            </w:r>
            <w:proofErr w:type="spellEnd"/>
            <w:r w:rsidRPr="00C3353C">
              <w:rPr>
                <w:bCs/>
                <w:lang w:eastAsia="zh-CN"/>
              </w:rPr>
              <w:t xml:space="preserve"> providing </w:t>
            </w:r>
            <w:proofErr w:type="spellStart"/>
            <w:r w:rsidRPr="00C3353C">
              <w:rPr>
                <w:bCs/>
                <w:i/>
                <w:lang w:eastAsia="zh-CN"/>
              </w:rPr>
              <w:t>nonServingCellMII</w:t>
            </w:r>
            <w:proofErr w:type="spellEnd"/>
            <w:r w:rsidRPr="00C3353C">
              <w:rPr>
                <w:bCs/>
                <w:lang w:eastAsia="zh-CN"/>
              </w:rPr>
              <w:t xml:space="preserve"> in </w:t>
            </w:r>
            <w:r w:rsidRPr="00C3353C">
              <w:rPr>
                <w:bCs/>
                <w:i/>
                <w:lang w:eastAsia="zh-CN"/>
              </w:rPr>
              <w:t>SIB1</w:t>
            </w:r>
            <w:r w:rsidRPr="00C3353C">
              <w:rPr>
                <w:lang w:eastAsia="zh-CN"/>
              </w:rPr>
              <w:t xml:space="preserve">, upon starting or stopping </w:t>
            </w:r>
            <w:r w:rsidRPr="00C3353C">
              <w:rPr>
                <w:lang w:eastAsia="zh-CN"/>
              </w:rPr>
              <w:lastRenderedPageBreak/>
              <w:t>reception of MBS broadcast service on a non-serving cell, upon change of CFR information or subcarrier spacing for MBS broadcast reception on a non-serving cell.</w:t>
            </w:r>
          </w:p>
        </w:tc>
      </w:tr>
    </w:tbl>
    <w:p w14:paraId="5D889D3D" w14:textId="77777777" w:rsidR="003F16C2" w:rsidRDefault="003F16C2" w:rsidP="003F16C2">
      <w:pPr>
        <w:jc w:val="both"/>
      </w:pPr>
      <w:r>
        <w:lastRenderedPageBreak/>
        <w:br/>
        <w:t xml:space="preserve">As can be seen, the MII might be sent when UE enters or leaves the broadcast service </w:t>
      </w:r>
      <w:proofErr w:type="gramStart"/>
      <w:r>
        <w:t>area</w:t>
      </w:r>
      <w:proofErr w:type="gramEnd"/>
      <w:r>
        <w:t xml:space="preserve"> and this is already supported by NR RRC </w:t>
      </w:r>
      <w:r>
        <w:fldChar w:fldCharType="begin"/>
      </w:r>
      <w:r>
        <w:instrText xml:space="preserve"> REF _Ref187160805 \r \h  \* MERGEFORMAT </w:instrText>
      </w:r>
      <w:r>
        <w:fldChar w:fldCharType="separate"/>
      </w:r>
      <w:r>
        <w:t>[7]</w:t>
      </w:r>
      <w:r>
        <w:fldChar w:fldCharType="end"/>
      </w:r>
      <w:r>
        <w:t>.</w:t>
      </w:r>
    </w:p>
    <w:p w14:paraId="5D05104A" w14:textId="77777777" w:rsidR="003F16C2" w:rsidRPr="00CE6574" w:rsidRDefault="003F16C2" w:rsidP="003F16C2">
      <w:pPr>
        <w:jc w:val="both"/>
        <w:rPr>
          <w:b/>
          <w:bCs/>
        </w:rPr>
      </w:pPr>
      <w:r w:rsidRPr="00CE6574">
        <w:rPr>
          <w:b/>
          <w:bCs/>
        </w:rPr>
        <w:t xml:space="preserve">Observation </w:t>
      </w:r>
      <w:r>
        <w:rPr>
          <w:b/>
          <w:bCs/>
        </w:rPr>
        <w:t>5</w:t>
      </w:r>
      <w:r w:rsidRPr="00CE6574">
        <w:rPr>
          <w:b/>
          <w:bCs/>
        </w:rPr>
        <w:t>: As per legacy NR RRC the MBS capable UE may send the MBS Interest Indication upon entering or leaving the broadcast service area.</w:t>
      </w:r>
    </w:p>
    <w:p w14:paraId="264ECCA3" w14:textId="11A06811" w:rsidR="003F16C2" w:rsidRDefault="003F16C2" w:rsidP="003F16C2">
      <w:pPr>
        <w:jc w:val="both"/>
      </w:pPr>
      <w:r>
        <w:t>Thus, agreeing to MII being sent when the UE enters or leaves the broadcast service area requires no changes</w:t>
      </w:r>
      <w:r w:rsidR="00515F19">
        <w:t xml:space="preserve"> to</w:t>
      </w:r>
      <w:r>
        <w:t xml:space="preserve"> MII</w:t>
      </w:r>
      <w:r w:rsidR="00515F19">
        <w:t xml:space="preserve"> design</w:t>
      </w:r>
      <w:r>
        <w:t xml:space="preserve"> in NTN. Furthermore, the behaviour described in </w:t>
      </w:r>
      <w:r>
        <w:fldChar w:fldCharType="begin"/>
      </w:r>
      <w:r>
        <w:instrText xml:space="preserve"> REF _Ref187160805 \r \h  \* MERGEFORMAT </w:instrText>
      </w:r>
      <w:r>
        <w:fldChar w:fldCharType="separate"/>
      </w:r>
      <w:r>
        <w:t>[7]</w:t>
      </w:r>
      <w:r>
        <w:fldChar w:fldCharType="end"/>
      </w:r>
      <w:r>
        <w:t xml:space="preserve"> is not binding (the term used in the procedure is “UE may initiate”), so in our view this issue is not worth spending additional time. Note that the MII feature can be used by the UE in case UE cannot find the MBS broadcast service that it is expecting in a cell. A </w:t>
      </w:r>
      <w:proofErr w:type="spellStart"/>
      <w:r>
        <w:t>gNB</w:t>
      </w:r>
      <w:proofErr w:type="spellEnd"/>
      <w:r>
        <w:t xml:space="preserve"> can decide whether to handover the UE to a possible </w:t>
      </w:r>
      <w:proofErr w:type="spellStart"/>
      <w:r>
        <w:t>neighbor</w:t>
      </w:r>
      <w:proofErr w:type="spellEnd"/>
      <w:r>
        <w:t xml:space="preserve"> </w:t>
      </w:r>
      <w:proofErr w:type="spellStart"/>
      <w:r>
        <w:t>gNB</w:t>
      </w:r>
      <w:proofErr w:type="spellEnd"/>
      <w:r>
        <w:t xml:space="preserve">/cell providing MBS broadcast service UE has interest in. Thus, as has been indicated at RAN2#127bis, it is a UE implementation issue, and a UE can decide when to send the MII (which could be somehow related to the intended service area). </w:t>
      </w:r>
    </w:p>
    <w:p w14:paraId="380D5651" w14:textId="4F61DE07" w:rsidR="003F16C2" w:rsidRPr="00B8410D" w:rsidRDefault="003F16C2" w:rsidP="003F16C2">
      <w:pPr>
        <w:rPr>
          <w:b/>
          <w:bCs/>
        </w:rPr>
      </w:pPr>
      <w:r w:rsidRPr="00B8410D">
        <w:rPr>
          <w:b/>
          <w:bCs/>
        </w:rPr>
        <w:t xml:space="preserve">Proposal </w:t>
      </w:r>
      <w:r w:rsidR="00A04490">
        <w:rPr>
          <w:b/>
          <w:bCs/>
        </w:rPr>
        <w:t>3</w:t>
      </w:r>
      <w:r w:rsidRPr="00B8410D">
        <w:rPr>
          <w:b/>
          <w:bCs/>
        </w:rPr>
        <w:t>: RAN2 does not specify any new behaviour with respect to MBS Interest Indication when Rel-19 NTN capable UE enters or leaves the MBS broadcast service area.</w:t>
      </w:r>
    </w:p>
    <w:p w14:paraId="3D3629FC" w14:textId="77777777" w:rsidR="003F16C2" w:rsidRPr="006E13D1" w:rsidRDefault="003F16C2" w:rsidP="003F16C2">
      <w:pPr>
        <w:pStyle w:val="Heading1"/>
      </w:pPr>
      <w:r>
        <w:t>3</w:t>
      </w:r>
      <w:r w:rsidRPr="006E13D1">
        <w:tab/>
      </w:r>
      <w:r>
        <w:t>Conclusion</w:t>
      </w:r>
    </w:p>
    <w:p w14:paraId="2380B72A" w14:textId="77777777" w:rsidR="003F16C2" w:rsidRDefault="003F16C2" w:rsidP="003F16C2">
      <w:r>
        <w:t>This document has made the following observations:</w:t>
      </w:r>
    </w:p>
    <w:p w14:paraId="76B93360" w14:textId="77777777" w:rsidR="004355F2" w:rsidRPr="0074387C" w:rsidRDefault="004355F2" w:rsidP="004355F2">
      <w:pPr>
        <w:jc w:val="both"/>
        <w:rPr>
          <w:b/>
          <w:bCs/>
        </w:rPr>
      </w:pPr>
      <w:r w:rsidRPr="0074387C">
        <w:rPr>
          <w:b/>
          <w:bCs/>
        </w:rPr>
        <w:t xml:space="preserve">Observation </w:t>
      </w:r>
      <w:r>
        <w:rPr>
          <w:b/>
          <w:bCs/>
        </w:rPr>
        <w:t>1</w:t>
      </w:r>
      <w:r w:rsidRPr="0074387C">
        <w:rPr>
          <w:b/>
          <w:bCs/>
        </w:rPr>
        <w:t xml:space="preserve">: Including ISA in Service Announcement </w:t>
      </w:r>
      <w:r>
        <w:rPr>
          <w:b/>
          <w:bCs/>
        </w:rPr>
        <w:t>may provide the UE with limited power saving options, which are not relevant to completing the NTN WI scope.</w:t>
      </w:r>
    </w:p>
    <w:p w14:paraId="39F4D506" w14:textId="77777777" w:rsidR="004355F2" w:rsidRPr="00265937" w:rsidRDefault="004355F2" w:rsidP="004355F2">
      <w:pPr>
        <w:jc w:val="both"/>
        <w:rPr>
          <w:b/>
          <w:bCs/>
        </w:rPr>
      </w:pPr>
      <w:r>
        <w:rPr>
          <w:b/>
          <w:bCs/>
        </w:rPr>
        <w:t>Observation 2: SA4 response states that additional work indeed is needed to complete the ISA in Service announcement for NR NTN.</w:t>
      </w:r>
    </w:p>
    <w:p w14:paraId="25009888" w14:textId="77777777" w:rsidR="004355F2" w:rsidRDefault="004355F2" w:rsidP="004355F2">
      <w:pPr>
        <w:jc w:val="both"/>
        <w:rPr>
          <w:b/>
          <w:bCs/>
        </w:rPr>
      </w:pPr>
      <w:r w:rsidRPr="00762C69">
        <w:rPr>
          <w:b/>
          <w:bCs/>
        </w:rPr>
        <w:t xml:space="preserve">Observation </w:t>
      </w:r>
      <w:r>
        <w:rPr>
          <w:b/>
          <w:bCs/>
        </w:rPr>
        <w:t>3</w:t>
      </w:r>
      <w:r w:rsidRPr="00762C69">
        <w:rPr>
          <w:b/>
          <w:bCs/>
        </w:rPr>
        <w:t xml:space="preserve">: </w:t>
      </w:r>
      <w:r>
        <w:rPr>
          <w:b/>
          <w:bCs/>
        </w:rPr>
        <w:t xml:space="preserve">ISA in Service Announcement will result in </w:t>
      </w:r>
      <w:r w:rsidRPr="00A338C7">
        <w:rPr>
          <w:b/>
          <w:bCs/>
        </w:rPr>
        <w:t>new requirements to the application function (AF) and also to Multicast/Broadcast Service Function (MBSF).</w:t>
      </w:r>
    </w:p>
    <w:p w14:paraId="22E85594" w14:textId="77777777" w:rsidR="004355F2" w:rsidRDefault="004355F2" w:rsidP="004355F2">
      <w:pPr>
        <w:jc w:val="both"/>
        <w:rPr>
          <w:b/>
          <w:bCs/>
        </w:rPr>
      </w:pPr>
      <w:r>
        <w:rPr>
          <w:b/>
          <w:bCs/>
        </w:rPr>
        <w:t>Observation 4: ISA in Service Announcement</w:t>
      </w:r>
      <w:r w:rsidRPr="00A338C7">
        <w:rPr>
          <w:b/>
          <w:bCs/>
        </w:rPr>
        <w:t xml:space="preserve"> might require a coordination between the operator and the application function if the application shall know about ISA</w:t>
      </w:r>
      <w:r>
        <w:rPr>
          <w:b/>
          <w:bCs/>
        </w:rPr>
        <w:t>.</w:t>
      </w:r>
    </w:p>
    <w:p w14:paraId="4F968009" w14:textId="67C9E194" w:rsidR="004355F2" w:rsidRPr="00762C69" w:rsidRDefault="004355F2" w:rsidP="004355F2">
      <w:pPr>
        <w:jc w:val="both"/>
        <w:rPr>
          <w:b/>
          <w:bCs/>
        </w:rPr>
      </w:pPr>
      <w:r w:rsidRPr="00CE6574">
        <w:rPr>
          <w:b/>
          <w:bCs/>
        </w:rPr>
        <w:t xml:space="preserve">Observation </w:t>
      </w:r>
      <w:r>
        <w:rPr>
          <w:b/>
          <w:bCs/>
        </w:rPr>
        <w:t>5</w:t>
      </w:r>
      <w:r w:rsidRPr="00CE6574">
        <w:rPr>
          <w:b/>
          <w:bCs/>
        </w:rPr>
        <w:t>: As per legacy NR RRC the MBS capable UE may send the MBS Interest Indication upon entering or leaving the broadcast service area.</w:t>
      </w:r>
    </w:p>
    <w:p w14:paraId="3FFDBB69" w14:textId="77777777" w:rsidR="003F16C2" w:rsidRDefault="003F16C2" w:rsidP="003F16C2">
      <w:pPr>
        <w:rPr>
          <w:bCs/>
        </w:rPr>
      </w:pPr>
      <w:r>
        <w:rPr>
          <w:bCs/>
        </w:rPr>
        <w:t>And proposed the following:</w:t>
      </w:r>
    </w:p>
    <w:p w14:paraId="723C625F" w14:textId="77777777" w:rsidR="004355F2" w:rsidRPr="00762C69" w:rsidRDefault="004355F2" w:rsidP="004355F2">
      <w:pPr>
        <w:jc w:val="both"/>
        <w:rPr>
          <w:b/>
          <w:bCs/>
        </w:rPr>
      </w:pPr>
      <w:r w:rsidRPr="00762C69">
        <w:rPr>
          <w:b/>
          <w:bCs/>
        </w:rPr>
        <w:t xml:space="preserve">Proposal </w:t>
      </w:r>
      <w:r>
        <w:rPr>
          <w:b/>
          <w:bCs/>
        </w:rPr>
        <w:t>1</w:t>
      </w:r>
      <w:r w:rsidRPr="00762C69">
        <w:rPr>
          <w:b/>
          <w:bCs/>
        </w:rPr>
        <w:t>:</w:t>
      </w:r>
      <w:r>
        <w:rPr>
          <w:b/>
          <w:bCs/>
        </w:rPr>
        <w:t xml:space="preserve"> RAN2 does not consider including ISA in Service Announcement, irrespective of the SA4 conclusions on targeted service area in Service Announcement. </w:t>
      </w:r>
    </w:p>
    <w:p w14:paraId="41F9994D" w14:textId="77777777" w:rsidR="004355F2" w:rsidRPr="00265937" w:rsidRDefault="004355F2" w:rsidP="004355F2">
      <w:pPr>
        <w:rPr>
          <w:b/>
          <w:bCs/>
        </w:rPr>
      </w:pPr>
      <w:r w:rsidRPr="0043291B">
        <w:rPr>
          <w:b/>
          <w:bCs/>
        </w:rPr>
        <w:t xml:space="preserve">Proposal </w:t>
      </w:r>
      <w:r>
        <w:rPr>
          <w:b/>
          <w:bCs/>
        </w:rPr>
        <w:t>2</w:t>
      </w:r>
      <w:r w:rsidRPr="0043291B">
        <w:rPr>
          <w:b/>
          <w:bCs/>
        </w:rPr>
        <w:t>: There is no need to explicitly define that the broadcast service area from a physics perspective may be different than the intended</w:t>
      </w:r>
      <w:r>
        <w:rPr>
          <w:b/>
          <w:bCs/>
        </w:rPr>
        <w:t xml:space="preserve"> service area</w:t>
      </w:r>
      <w:r w:rsidRPr="0043291B">
        <w:rPr>
          <w:b/>
          <w:bCs/>
        </w:rPr>
        <w:t>.</w:t>
      </w:r>
    </w:p>
    <w:p w14:paraId="09DE204D" w14:textId="6ACCFD4E" w:rsidR="004355F2" w:rsidRPr="00C23144" w:rsidRDefault="004355F2" w:rsidP="003F16C2">
      <w:pPr>
        <w:rPr>
          <w:b/>
          <w:bCs/>
        </w:rPr>
      </w:pPr>
      <w:r w:rsidRPr="00B8410D">
        <w:rPr>
          <w:b/>
          <w:bCs/>
        </w:rPr>
        <w:t xml:space="preserve">Proposal </w:t>
      </w:r>
      <w:r>
        <w:rPr>
          <w:b/>
          <w:bCs/>
        </w:rPr>
        <w:t>3</w:t>
      </w:r>
      <w:r w:rsidRPr="00B8410D">
        <w:rPr>
          <w:b/>
          <w:bCs/>
        </w:rPr>
        <w:t>: RAN2 does not specify any new behaviour with respect to MBS Interest Indication when Rel-19 NTN capable UE enters or leaves the MBS broadcast service area.</w:t>
      </w:r>
    </w:p>
    <w:p w14:paraId="72C6234C" w14:textId="11BC6700" w:rsidR="003F16C2" w:rsidRPr="006E13D1" w:rsidRDefault="00744DDF" w:rsidP="00C23144">
      <w:pPr>
        <w:pStyle w:val="Heading1"/>
      </w:pPr>
      <w:r>
        <w:t>References</w:t>
      </w:r>
    </w:p>
    <w:p w14:paraId="36450250" w14:textId="31BFEC97" w:rsidR="003F16C2" w:rsidRDefault="003F16C2" w:rsidP="003F16C2">
      <w:pPr>
        <w:pStyle w:val="ListParagraph"/>
        <w:numPr>
          <w:ilvl w:val="0"/>
          <w:numId w:val="19"/>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10767987" w14:textId="77777777" w:rsidR="003F16C2" w:rsidRDefault="003F16C2" w:rsidP="003F16C2">
      <w:pPr>
        <w:pStyle w:val="ListParagraph"/>
        <w:numPr>
          <w:ilvl w:val="0"/>
          <w:numId w:val="19"/>
        </w:numPr>
        <w:jc w:val="both"/>
      </w:pPr>
      <w:bookmarkStart w:id="1" w:name="_Ref193379311"/>
      <w:r>
        <w:t xml:space="preserve">R2-2409213 </w:t>
      </w:r>
      <w:r w:rsidRPr="00707410">
        <w:rPr>
          <w:i/>
          <w:iCs/>
        </w:rPr>
        <w:t>Report from Break-out session on NR-NTN and IoT-NTN</w:t>
      </w:r>
      <w:r>
        <w:t xml:space="preserve"> 3GPP TSG-RAN WG2 Meeting #127bis Changsha, China, Apr 15th – 19th, 2024</w:t>
      </w:r>
      <w:bookmarkEnd w:id="1"/>
    </w:p>
    <w:p w14:paraId="2C20E7F1" w14:textId="77777777" w:rsidR="003F16C2" w:rsidRDefault="003F16C2" w:rsidP="003F16C2">
      <w:pPr>
        <w:pStyle w:val="ListParagraph"/>
        <w:numPr>
          <w:ilvl w:val="0"/>
          <w:numId w:val="19"/>
        </w:numPr>
        <w:jc w:val="both"/>
      </w:pPr>
      <w:bookmarkStart w:id="2" w:name="_Ref187145446"/>
      <w:r>
        <w:t>R2-2410913</w:t>
      </w:r>
      <w:r>
        <w:tab/>
      </w:r>
      <w:r w:rsidRPr="00121C85">
        <w:rPr>
          <w:i/>
          <w:iCs/>
        </w:rPr>
        <w:t>Report from Break-out session on NR-NTN and IoT-NTN</w:t>
      </w:r>
      <w:r>
        <w:t xml:space="preserve"> 3GPP TSG-RAN WG2 Meeting #128 Orlando, USA, Nov 18th – 22nd, 2024</w:t>
      </w:r>
      <w:bookmarkEnd w:id="2"/>
    </w:p>
    <w:p w14:paraId="056ECF5D" w14:textId="77777777" w:rsidR="003F16C2" w:rsidRDefault="003F16C2" w:rsidP="003F16C2">
      <w:pPr>
        <w:pStyle w:val="ListParagraph"/>
        <w:numPr>
          <w:ilvl w:val="0"/>
          <w:numId w:val="19"/>
        </w:numPr>
        <w:jc w:val="both"/>
      </w:pPr>
      <w:bookmarkStart w:id="3" w:name="_Ref193357367"/>
      <w:r>
        <w:t>R2-2501333</w:t>
      </w:r>
      <w:r>
        <w:tab/>
      </w:r>
      <w:r w:rsidRPr="00121C85">
        <w:rPr>
          <w:i/>
          <w:iCs/>
        </w:rPr>
        <w:t>Report from Break-out session on NR-NTN and IoT-NTN</w:t>
      </w:r>
      <w:r>
        <w:t xml:space="preserve"> 3GPP TSG-RAN WG2 Meeting #129 Athens, Greece, Feb 17</w:t>
      </w:r>
      <w:r w:rsidRPr="005F671C">
        <w:rPr>
          <w:vertAlign w:val="superscript"/>
        </w:rPr>
        <w:t>th</w:t>
      </w:r>
      <w:r>
        <w:t xml:space="preserve"> -21</w:t>
      </w:r>
      <w:r w:rsidRPr="005F671C">
        <w:rPr>
          <w:vertAlign w:val="superscript"/>
        </w:rPr>
        <w:t>st</w:t>
      </w:r>
      <w:r>
        <w:t>, 2025</w:t>
      </w:r>
      <w:bookmarkEnd w:id="3"/>
    </w:p>
    <w:p w14:paraId="0715C8DA" w14:textId="77777777" w:rsidR="003F16C2" w:rsidRDefault="003F16C2" w:rsidP="003F16C2">
      <w:pPr>
        <w:pStyle w:val="ListParagraph"/>
        <w:numPr>
          <w:ilvl w:val="0"/>
          <w:numId w:val="19"/>
        </w:numPr>
        <w:jc w:val="both"/>
      </w:pPr>
      <w:bookmarkStart w:id="4" w:name="_Ref187221641"/>
      <w:r>
        <w:lastRenderedPageBreak/>
        <w:t xml:space="preserve">S1-244857 </w:t>
      </w:r>
      <w:r w:rsidRPr="00121C85">
        <w:rPr>
          <w:i/>
          <w:iCs/>
        </w:rPr>
        <w:t xml:space="preserve">Reply LS on requirements for ETWS primary notification </w:t>
      </w:r>
      <w:r>
        <w:t>3GPP TSG SA WG WG1 Meeting #108 Orlando, FL, USA, 18th – 22nd November 2024</w:t>
      </w:r>
      <w:bookmarkEnd w:id="4"/>
    </w:p>
    <w:p w14:paraId="69C71129" w14:textId="77777777" w:rsidR="003F16C2" w:rsidRDefault="003F16C2" w:rsidP="003F16C2">
      <w:pPr>
        <w:pStyle w:val="ListParagraph"/>
        <w:numPr>
          <w:ilvl w:val="0"/>
          <w:numId w:val="19"/>
        </w:numPr>
        <w:jc w:val="both"/>
      </w:pPr>
      <w:bookmarkStart w:id="5" w:name="_Ref187222761"/>
      <w:r>
        <w:t xml:space="preserve">S1-244753 </w:t>
      </w:r>
      <w:r w:rsidRPr="00121C85">
        <w:rPr>
          <w:i/>
          <w:iCs/>
        </w:rPr>
        <w:t>Warning notification with geofencing for ETWS over satellite access (CR to TS 22.268)</w:t>
      </w:r>
      <w:r>
        <w:t xml:space="preserve"> 3GPP TSG-SA1 Meeting #108</w:t>
      </w:r>
      <w:r>
        <w:tab/>
        <w:t xml:space="preserve"> Orlando, United States, 18th Nov 2024 - 22nd Nov 2024</w:t>
      </w:r>
      <w:bookmarkEnd w:id="5"/>
    </w:p>
    <w:p w14:paraId="14EA340E" w14:textId="77777777" w:rsidR="003F16C2" w:rsidRDefault="003F16C2" w:rsidP="003F16C2">
      <w:pPr>
        <w:pStyle w:val="ListParagraph"/>
        <w:numPr>
          <w:ilvl w:val="0"/>
          <w:numId w:val="19"/>
        </w:numPr>
        <w:jc w:val="both"/>
      </w:pPr>
      <w:bookmarkStart w:id="6" w:name="_Ref187160805"/>
      <w:r>
        <w:t xml:space="preserve">3GPP TS 38.331 </w:t>
      </w:r>
      <w:r w:rsidRPr="00121C85">
        <w:rPr>
          <w:i/>
          <w:iCs/>
        </w:rPr>
        <w:t>NR RRC</w:t>
      </w:r>
      <w:r>
        <w:t>, v18.4.0, December 2024</w:t>
      </w:r>
      <w:bookmarkStart w:id="7" w:name="_Ref172537527"/>
      <w:bookmarkEnd w:id="6"/>
    </w:p>
    <w:p w14:paraId="77DBAE9C" w14:textId="77777777" w:rsidR="003F16C2" w:rsidRDefault="003F16C2" w:rsidP="003F16C2">
      <w:pPr>
        <w:pStyle w:val="ListParagraph"/>
        <w:numPr>
          <w:ilvl w:val="0"/>
          <w:numId w:val="19"/>
        </w:numPr>
        <w:jc w:val="both"/>
      </w:pPr>
      <w:bookmarkStart w:id="8" w:name="_Ref187223404"/>
      <w:bookmarkStart w:id="9" w:name="_Ref187223486"/>
      <w:r w:rsidRPr="00F13C23">
        <w:t>R2-2407823</w:t>
      </w:r>
      <w:r>
        <w:t xml:space="preserve"> </w:t>
      </w:r>
      <w:r w:rsidRPr="00A41C68">
        <w:rPr>
          <w:i/>
          <w:iCs/>
        </w:rPr>
        <w:t>LS on requirements for ETWS primary notification</w:t>
      </w:r>
      <w:bookmarkEnd w:id="8"/>
      <w:r>
        <w:t xml:space="preserve"> 3GPP TSG-RAN WG2 Meeting #127 Maastricht, Netherlands, August 19th – 23rd, 2024</w:t>
      </w:r>
      <w:bookmarkEnd w:id="9"/>
    </w:p>
    <w:p w14:paraId="41C69959" w14:textId="77777777" w:rsidR="003F16C2" w:rsidRDefault="003F16C2" w:rsidP="003F16C2">
      <w:pPr>
        <w:pStyle w:val="ListParagraph"/>
        <w:numPr>
          <w:ilvl w:val="0"/>
          <w:numId w:val="19"/>
        </w:numPr>
        <w:jc w:val="both"/>
      </w:pPr>
      <w:bookmarkStart w:id="10" w:name="_Ref187145371"/>
      <w:r>
        <w:t xml:space="preserve">R2-2405703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7"/>
      <w:bookmarkEnd w:id="10"/>
    </w:p>
    <w:p w14:paraId="7AF5BCC7" w14:textId="77777777" w:rsidR="003F16C2" w:rsidRDefault="003F16C2" w:rsidP="003F16C2">
      <w:pPr>
        <w:pStyle w:val="ListParagraph"/>
        <w:numPr>
          <w:ilvl w:val="0"/>
          <w:numId w:val="19"/>
        </w:numPr>
        <w:jc w:val="both"/>
      </w:pPr>
      <w:bookmarkStart w:id="11" w:name="_Ref187145403"/>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1"/>
    </w:p>
    <w:p w14:paraId="40580924" w14:textId="77777777" w:rsidR="003F16C2" w:rsidRDefault="003F16C2" w:rsidP="003F16C2">
      <w:pPr>
        <w:pStyle w:val="ListParagraph"/>
        <w:numPr>
          <w:ilvl w:val="0"/>
          <w:numId w:val="19"/>
        </w:numPr>
        <w:jc w:val="both"/>
      </w:pPr>
      <w:bookmarkStart w:id="12" w:name="_Ref187145391"/>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2"/>
    </w:p>
    <w:p w14:paraId="0C6384D2" w14:textId="77777777" w:rsidR="003F16C2" w:rsidRDefault="003F16C2" w:rsidP="003F16C2">
      <w:pPr>
        <w:pStyle w:val="ListParagraph"/>
        <w:numPr>
          <w:ilvl w:val="0"/>
          <w:numId w:val="19"/>
        </w:numPr>
        <w:jc w:val="both"/>
      </w:pPr>
      <w:bookmarkStart w:id="13" w:name="_Ref165294893"/>
      <w:r w:rsidRPr="00813C81">
        <w:t>R2-2402355</w:t>
      </w:r>
      <w:r>
        <w:t xml:space="preserve">, </w:t>
      </w:r>
      <w:r w:rsidRPr="00287C85">
        <w:rPr>
          <w:i/>
          <w:iCs/>
        </w:rPr>
        <w:t>Discussion on support of broadcast service via NR NTN</w:t>
      </w:r>
      <w:r>
        <w:t>, CATT, China Broadnet, 3GPP TSG RAN2#125bis meeting, Rel-19, April 2024.</w:t>
      </w:r>
      <w:bookmarkEnd w:id="13"/>
    </w:p>
    <w:p w14:paraId="60EB1E7D" w14:textId="77777777" w:rsidR="003F16C2" w:rsidRDefault="003F16C2" w:rsidP="003F16C2">
      <w:pPr>
        <w:pStyle w:val="ListParagraph"/>
        <w:numPr>
          <w:ilvl w:val="0"/>
          <w:numId w:val="19"/>
        </w:numPr>
        <w:jc w:val="both"/>
      </w:pPr>
      <w:r>
        <w:t xml:space="preserve">R3-245844 </w:t>
      </w:r>
      <w:r w:rsidRPr="003E6933">
        <w:rPr>
          <w:i/>
          <w:iCs/>
        </w:rPr>
        <w:t>LS on Supporting MBS broadcast service for NR NTN</w:t>
      </w:r>
      <w:r>
        <w:t xml:space="preserve"> 3GPP TSG RAN WG3 125-bis Hefei, China, 14 - 18 </w:t>
      </w:r>
      <w:proofErr w:type="gramStart"/>
      <w:r>
        <w:t>October,</w:t>
      </w:r>
      <w:proofErr w:type="gramEnd"/>
      <w:r>
        <w:t xml:space="preserve"> 2024</w:t>
      </w:r>
    </w:p>
    <w:p w14:paraId="36FD9613" w14:textId="77777777" w:rsidR="003F16C2" w:rsidRDefault="003F16C2" w:rsidP="003F16C2">
      <w:pPr>
        <w:pStyle w:val="ListParagraph"/>
        <w:numPr>
          <w:ilvl w:val="0"/>
          <w:numId w:val="19"/>
        </w:numPr>
        <w:jc w:val="both"/>
      </w:pPr>
      <w:bookmarkStart w:id="14" w:name="_Ref193357867"/>
      <w:r>
        <w:t xml:space="preserve">R2-2501583 </w:t>
      </w:r>
      <w:r w:rsidRPr="00CB6FA3">
        <w:rPr>
          <w:i/>
          <w:iCs/>
        </w:rPr>
        <w:t>LS on Inclusion of NTN intended service area in the Service Announcement</w:t>
      </w:r>
      <w:r>
        <w:t xml:space="preserve"> </w:t>
      </w:r>
      <w:r w:rsidRPr="00CB6FA3">
        <w:t>3GPP TSG-RAN WG2 Meeting #129 Athens, Greece, Feb 17th -21st, 2025</w:t>
      </w:r>
      <w:bookmarkEnd w:id="14"/>
    </w:p>
    <w:p w14:paraId="397329A0" w14:textId="77777777" w:rsidR="003F16C2" w:rsidRDefault="003F16C2" w:rsidP="003F16C2">
      <w:pPr>
        <w:pStyle w:val="ListParagraph"/>
        <w:numPr>
          <w:ilvl w:val="0"/>
          <w:numId w:val="19"/>
        </w:numPr>
        <w:jc w:val="both"/>
      </w:pPr>
      <w:bookmarkStart w:id="15" w:name="_Ref193377132"/>
      <w:r w:rsidRPr="00157662">
        <w:t>R2-2501306</w:t>
      </w:r>
      <w:r>
        <w:t xml:space="preserve">  </w:t>
      </w:r>
      <w:r w:rsidRPr="00157662">
        <w:t>Support for broadcast services in NR NTN</w:t>
      </w:r>
      <w:r>
        <w:t xml:space="preserve"> </w:t>
      </w:r>
      <w:r w:rsidRPr="00CB6FA3">
        <w:t>3GPP TSG-RAN WG2 Meeting #129 Athens, Greece, Feb 17th -21st, 2025</w:t>
      </w:r>
      <w:bookmarkEnd w:id="15"/>
    </w:p>
    <w:p w14:paraId="1210A6FC" w14:textId="77777777" w:rsidR="003F16C2" w:rsidRDefault="003F16C2" w:rsidP="003F16C2">
      <w:pPr>
        <w:pStyle w:val="ListParagraph"/>
        <w:numPr>
          <w:ilvl w:val="0"/>
          <w:numId w:val="19"/>
        </w:numPr>
        <w:jc w:val="both"/>
      </w:pPr>
      <w:bookmarkStart w:id="16" w:name="_Ref195883916"/>
      <w:r>
        <w:t xml:space="preserve">R2-2502983 </w:t>
      </w:r>
      <w:r w:rsidRPr="00215119">
        <w:rPr>
          <w:i/>
          <w:iCs/>
        </w:rPr>
        <w:t>Report from Break-out session on NR-NTN and IoT-NTN</w:t>
      </w:r>
      <w:r>
        <w:t xml:space="preserve"> 3GPP TSG-RAN WG2 Meeting #129bis</w:t>
      </w:r>
      <w:r>
        <w:tab/>
        <w:t>Wuhan, China, Apr 7th – 11th, 2025</w:t>
      </w:r>
      <w:bookmarkEnd w:id="16"/>
    </w:p>
    <w:p w14:paraId="23E2CC71" w14:textId="77777777" w:rsidR="003F16C2" w:rsidRDefault="003F16C2" w:rsidP="003F16C2">
      <w:pPr>
        <w:pStyle w:val="ListParagraph"/>
        <w:numPr>
          <w:ilvl w:val="0"/>
          <w:numId w:val="19"/>
        </w:numPr>
      </w:pPr>
      <w:bookmarkStart w:id="17" w:name="_Ref195883897"/>
      <w:r>
        <w:t xml:space="preserve">R2-2503057 </w:t>
      </w:r>
      <w:r w:rsidRPr="00CA13B7">
        <w:rPr>
          <w:i/>
          <w:iCs/>
        </w:rPr>
        <w:t>Report of [AT129bis][304][R19 NR NTN] Service continuity</w:t>
      </w:r>
      <w:r>
        <w:t xml:space="preserve"> </w:t>
      </w:r>
      <w:r w:rsidRPr="00CA13B7">
        <w:t>3GPP TSG-RAN WG2 Meeting #129bis</w:t>
      </w:r>
      <w:r w:rsidRPr="00CA13B7">
        <w:tab/>
        <w:t>Wuhan, China, Apr 7th – 11th, 2025</w:t>
      </w:r>
      <w:bookmarkEnd w:id="17"/>
    </w:p>
    <w:p w14:paraId="4EC9DC0C" w14:textId="7FA83276" w:rsidR="003F16C2" w:rsidRDefault="00C61FF5" w:rsidP="003F16C2">
      <w:pPr>
        <w:pStyle w:val="ListParagraph"/>
        <w:numPr>
          <w:ilvl w:val="0"/>
          <w:numId w:val="19"/>
        </w:numPr>
      </w:pPr>
      <w:r>
        <w:t xml:space="preserve">R2-250xxxx </w:t>
      </w:r>
      <w:r w:rsidR="003F16C2" w:rsidRPr="00C61FF5">
        <w:rPr>
          <w:i/>
          <w:iCs/>
        </w:rPr>
        <w:t>NR RRC Running CR for Rel-19 NTN</w:t>
      </w:r>
    </w:p>
    <w:p w14:paraId="310B9FC3" w14:textId="2B7AF1E5" w:rsidR="003F16C2" w:rsidRDefault="00C61FF5" w:rsidP="003F16C2">
      <w:pPr>
        <w:pStyle w:val="ListParagraph"/>
        <w:numPr>
          <w:ilvl w:val="0"/>
          <w:numId w:val="19"/>
        </w:numPr>
      </w:pPr>
      <w:bookmarkStart w:id="18" w:name="_Ref197339273"/>
      <w:r>
        <w:t xml:space="preserve">R2-250xxxx </w:t>
      </w:r>
      <w:r w:rsidR="003F16C2" w:rsidRPr="00C61FF5">
        <w:rPr>
          <w:i/>
          <w:iCs/>
        </w:rPr>
        <w:t>Remaining RRC open issues for NR NTN Rel-19</w:t>
      </w:r>
      <w:bookmarkEnd w:id="18"/>
    </w:p>
    <w:p w14:paraId="78228D02" w14:textId="1A7F5BE8" w:rsidR="00744DDF" w:rsidRDefault="002626DC" w:rsidP="003F16C2">
      <w:pPr>
        <w:pStyle w:val="ListParagraph"/>
        <w:numPr>
          <w:ilvl w:val="0"/>
          <w:numId w:val="19"/>
        </w:numPr>
      </w:pPr>
      <w:bookmarkStart w:id="19" w:name="_Ref205985426"/>
      <w:r w:rsidRPr="002626DC">
        <w:t>S4-251099</w:t>
      </w:r>
      <w:bookmarkEnd w:id="19"/>
      <w:r>
        <w:t xml:space="preserve"> </w:t>
      </w:r>
      <w:r w:rsidR="003B72E1" w:rsidRPr="00C23144">
        <w:rPr>
          <w:i/>
          <w:iCs/>
        </w:rPr>
        <w:t>Reply on Inclusion of NTN intended service area in the Service Announcement</w:t>
      </w:r>
    </w:p>
    <w:p w14:paraId="46504390" w14:textId="2D1F41AC" w:rsidR="00354B02" w:rsidRPr="00A209D6" w:rsidRDefault="005B3F45" w:rsidP="003F16C2">
      <w:pPr>
        <w:pStyle w:val="ListParagraph"/>
        <w:numPr>
          <w:ilvl w:val="0"/>
          <w:numId w:val="19"/>
        </w:numPr>
      </w:pPr>
      <w:bookmarkStart w:id="20" w:name="_Ref206061009"/>
      <w:r>
        <w:t xml:space="preserve">R2-2504673 </w:t>
      </w:r>
      <w:r w:rsidRPr="00C23144">
        <w:rPr>
          <w:i/>
          <w:iCs/>
        </w:rPr>
        <w:t>Report from Break-out session on NR-NTN and IoT-NTN</w:t>
      </w:r>
      <w:r w:rsidRPr="005B3F45">
        <w:t xml:space="preserve"> 3GPP TSG-RAN WG2 Meeting #1</w:t>
      </w:r>
      <w:r>
        <w:t>30</w:t>
      </w:r>
      <w:r w:rsidRPr="005B3F45">
        <w:tab/>
      </w:r>
      <w:r>
        <w:t>Malta</w:t>
      </w:r>
      <w:r w:rsidRPr="005B3F45">
        <w:t xml:space="preserve">, </w:t>
      </w:r>
      <w:r>
        <w:t xml:space="preserve">May </w:t>
      </w:r>
      <w:r w:rsidR="00D01CFF">
        <w:t>19</w:t>
      </w:r>
      <w:r w:rsidR="00D01CFF" w:rsidRPr="00C23144">
        <w:rPr>
          <w:vertAlign w:val="superscript"/>
        </w:rPr>
        <w:t>th</w:t>
      </w:r>
      <w:r w:rsidR="00D01CFF">
        <w:t xml:space="preserve"> – 23</w:t>
      </w:r>
      <w:r w:rsidR="00D01CFF" w:rsidRPr="00C23144">
        <w:rPr>
          <w:vertAlign w:val="superscript"/>
        </w:rPr>
        <w:t>rd</w:t>
      </w:r>
      <w:r w:rsidRPr="005B3F45">
        <w:t>, 2025</w:t>
      </w:r>
      <w:bookmarkEnd w:id="20"/>
    </w:p>
    <w:p w14:paraId="25FCC8CB" w14:textId="77777777" w:rsidR="003F16C2" w:rsidRDefault="003F16C2" w:rsidP="003F16C2"/>
    <w:p w14:paraId="6DAFDC20" w14:textId="77777777" w:rsidR="003F16C2" w:rsidRPr="00CD4C7B" w:rsidRDefault="003F16C2" w:rsidP="003F16C2"/>
    <w:p w14:paraId="0E9CA34D" w14:textId="77777777" w:rsidR="003F16C2" w:rsidRPr="00A209D6" w:rsidRDefault="003F16C2" w:rsidP="003F16C2"/>
    <w:p w14:paraId="2A317533" w14:textId="77777777" w:rsidR="003F16C2" w:rsidRPr="005A5862" w:rsidRDefault="003F16C2" w:rsidP="003F16C2">
      <w:pPr>
        <w:pStyle w:val="CRCoverPage"/>
        <w:tabs>
          <w:tab w:val="left" w:pos="1985"/>
        </w:tabs>
      </w:pPr>
    </w:p>
    <w:p w14:paraId="35F222F4" w14:textId="77777777" w:rsidR="00080512" w:rsidRPr="003F16C2" w:rsidRDefault="00080512" w:rsidP="003F16C2"/>
    <w:sectPr w:rsidR="00080512" w:rsidRPr="003F16C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5755" w14:textId="77777777" w:rsidR="00A82A39" w:rsidRDefault="00A82A39">
      <w:r>
        <w:separator/>
      </w:r>
    </w:p>
  </w:endnote>
  <w:endnote w:type="continuationSeparator" w:id="0">
    <w:p w14:paraId="3C89BA7B" w14:textId="77777777" w:rsidR="00A82A39" w:rsidRDefault="00A82A39">
      <w:r>
        <w:continuationSeparator/>
      </w:r>
    </w:p>
  </w:endnote>
  <w:endnote w:type="continuationNotice" w:id="1">
    <w:p w14:paraId="14DFCCA9" w14:textId="77777777" w:rsidR="00A82A39" w:rsidRDefault="00A82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BCE32" w14:textId="77777777" w:rsidR="00A82A39" w:rsidRDefault="00A82A39">
      <w:r>
        <w:separator/>
      </w:r>
    </w:p>
  </w:footnote>
  <w:footnote w:type="continuationSeparator" w:id="0">
    <w:p w14:paraId="73A57810" w14:textId="77777777" w:rsidR="00A82A39" w:rsidRDefault="00A82A39">
      <w:r>
        <w:continuationSeparator/>
      </w:r>
    </w:p>
  </w:footnote>
  <w:footnote w:type="continuationNotice" w:id="1">
    <w:p w14:paraId="36BA17B9" w14:textId="77777777" w:rsidR="00A82A39" w:rsidRDefault="00A82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A14790"/>
    <w:multiLevelType w:val="hybridMultilevel"/>
    <w:tmpl w:val="5B50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8211AF"/>
    <w:multiLevelType w:val="hybridMultilevel"/>
    <w:tmpl w:val="232E1978"/>
    <w:lvl w:ilvl="0" w:tplc="45A2A4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6B4351"/>
    <w:multiLevelType w:val="hybridMultilevel"/>
    <w:tmpl w:val="428C7C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EBA23038">
      <w:numFmt w:val="bullet"/>
      <w:lvlText w:val=""/>
      <w:lvlJc w:val="left"/>
      <w:pPr>
        <w:ind w:left="2160" w:hanging="360"/>
      </w:pPr>
      <w:rPr>
        <w:rFonts w:ascii="Wingdings" w:eastAsia="Aptos" w:hAnsi="Wingdings" w:cs="Arial"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57506535">
    <w:abstractNumId w:val="19"/>
  </w:num>
  <w:num w:numId="19" w16cid:durableId="1100298529">
    <w:abstractNumId w:val="18"/>
  </w:num>
  <w:num w:numId="20" w16cid:durableId="429812777">
    <w:abstractNumId w:val="17"/>
  </w:num>
  <w:num w:numId="21" w16cid:durableId="2261829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D16"/>
    <w:rsid w:val="00006C10"/>
    <w:rsid w:val="0001235D"/>
    <w:rsid w:val="000145A1"/>
    <w:rsid w:val="00016557"/>
    <w:rsid w:val="00023C40"/>
    <w:rsid w:val="00024904"/>
    <w:rsid w:val="0002507D"/>
    <w:rsid w:val="00025BC6"/>
    <w:rsid w:val="000316D3"/>
    <w:rsid w:val="00033397"/>
    <w:rsid w:val="0003669A"/>
    <w:rsid w:val="00040095"/>
    <w:rsid w:val="00040974"/>
    <w:rsid w:val="000418DD"/>
    <w:rsid w:val="00045081"/>
    <w:rsid w:val="00053730"/>
    <w:rsid w:val="000552E5"/>
    <w:rsid w:val="00065268"/>
    <w:rsid w:val="00073C9C"/>
    <w:rsid w:val="00075388"/>
    <w:rsid w:val="00076412"/>
    <w:rsid w:val="00080512"/>
    <w:rsid w:val="00090468"/>
    <w:rsid w:val="00094568"/>
    <w:rsid w:val="00096687"/>
    <w:rsid w:val="000B0DBE"/>
    <w:rsid w:val="000B1350"/>
    <w:rsid w:val="000B209B"/>
    <w:rsid w:val="000B68CB"/>
    <w:rsid w:val="000B7BCF"/>
    <w:rsid w:val="000C522B"/>
    <w:rsid w:val="000C5D0F"/>
    <w:rsid w:val="000D0851"/>
    <w:rsid w:val="000D3DFC"/>
    <w:rsid w:val="000D58AB"/>
    <w:rsid w:val="000E7A3D"/>
    <w:rsid w:val="000F401D"/>
    <w:rsid w:val="0011046F"/>
    <w:rsid w:val="00111A75"/>
    <w:rsid w:val="00112F1A"/>
    <w:rsid w:val="00125351"/>
    <w:rsid w:val="0012610D"/>
    <w:rsid w:val="0013344D"/>
    <w:rsid w:val="00145075"/>
    <w:rsid w:val="00150FA4"/>
    <w:rsid w:val="00163259"/>
    <w:rsid w:val="00163A64"/>
    <w:rsid w:val="0016463D"/>
    <w:rsid w:val="001741A0"/>
    <w:rsid w:val="00175FA0"/>
    <w:rsid w:val="001771E9"/>
    <w:rsid w:val="00181938"/>
    <w:rsid w:val="0018542A"/>
    <w:rsid w:val="00194CD0"/>
    <w:rsid w:val="001B49C9"/>
    <w:rsid w:val="001C23F4"/>
    <w:rsid w:val="001C4F79"/>
    <w:rsid w:val="001C6C11"/>
    <w:rsid w:val="001C7522"/>
    <w:rsid w:val="001C7802"/>
    <w:rsid w:val="001D625C"/>
    <w:rsid w:val="001D71B5"/>
    <w:rsid w:val="001E53AB"/>
    <w:rsid w:val="001F168B"/>
    <w:rsid w:val="001F7831"/>
    <w:rsid w:val="00204045"/>
    <w:rsid w:val="0020712B"/>
    <w:rsid w:val="0021716B"/>
    <w:rsid w:val="00217467"/>
    <w:rsid w:val="0022606D"/>
    <w:rsid w:val="00231728"/>
    <w:rsid w:val="00235562"/>
    <w:rsid w:val="00236DB9"/>
    <w:rsid w:val="00241541"/>
    <w:rsid w:val="00244A05"/>
    <w:rsid w:val="00246026"/>
    <w:rsid w:val="00250404"/>
    <w:rsid w:val="00250A54"/>
    <w:rsid w:val="00252437"/>
    <w:rsid w:val="00255171"/>
    <w:rsid w:val="002552A2"/>
    <w:rsid w:val="0025636B"/>
    <w:rsid w:val="00256B74"/>
    <w:rsid w:val="002610D8"/>
    <w:rsid w:val="002626DC"/>
    <w:rsid w:val="00265937"/>
    <w:rsid w:val="002747EC"/>
    <w:rsid w:val="00275E00"/>
    <w:rsid w:val="002855BF"/>
    <w:rsid w:val="00290A7C"/>
    <w:rsid w:val="002B2988"/>
    <w:rsid w:val="002C3217"/>
    <w:rsid w:val="002F0D22"/>
    <w:rsid w:val="002F6B28"/>
    <w:rsid w:val="00311B17"/>
    <w:rsid w:val="00315FA8"/>
    <w:rsid w:val="003172DC"/>
    <w:rsid w:val="003225D8"/>
    <w:rsid w:val="00325AE3"/>
    <w:rsid w:val="00326018"/>
    <w:rsid w:val="00326069"/>
    <w:rsid w:val="0035004E"/>
    <w:rsid w:val="0035462D"/>
    <w:rsid w:val="00354B02"/>
    <w:rsid w:val="0036459E"/>
    <w:rsid w:val="00364B41"/>
    <w:rsid w:val="00365EED"/>
    <w:rsid w:val="00372DF8"/>
    <w:rsid w:val="00383096"/>
    <w:rsid w:val="0039346C"/>
    <w:rsid w:val="003A089B"/>
    <w:rsid w:val="003A1756"/>
    <w:rsid w:val="003A41EF"/>
    <w:rsid w:val="003A4ED8"/>
    <w:rsid w:val="003B40AD"/>
    <w:rsid w:val="003B72E1"/>
    <w:rsid w:val="003C3D6F"/>
    <w:rsid w:val="003C4E37"/>
    <w:rsid w:val="003D0FD0"/>
    <w:rsid w:val="003D6B42"/>
    <w:rsid w:val="003D7AAB"/>
    <w:rsid w:val="003E0607"/>
    <w:rsid w:val="003E16BE"/>
    <w:rsid w:val="003F002C"/>
    <w:rsid w:val="003F16C2"/>
    <w:rsid w:val="003F4E28"/>
    <w:rsid w:val="003F76B6"/>
    <w:rsid w:val="00400110"/>
    <w:rsid w:val="004006E8"/>
    <w:rsid w:val="00401855"/>
    <w:rsid w:val="00402264"/>
    <w:rsid w:val="00406814"/>
    <w:rsid w:val="00407FF8"/>
    <w:rsid w:val="0041593C"/>
    <w:rsid w:val="00422E13"/>
    <w:rsid w:val="00426F1F"/>
    <w:rsid w:val="0043291B"/>
    <w:rsid w:val="004355F2"/>
    <w:rsid w:val="00446C3A"/>
    <w:rsid w:val="00457837"/>
    <w:rsid w:val="00465587"/>
    <w:rsid w:val="00467675"/>
    <w:rsid w:val="00477455"/>
    <w:rsid w:val="00482A5A"/>
    <w:rsid w:val="00483950"/>
    <w:rsid w:val="00483E5A"/>
    <w:rsid w:val="0049059E"/>
    <w:rsid w:val="00496119"/>
    <w:rsid w:val="004A1F7B"/>
    <w:rsid w:val="004A348D"/>
    <w:rsid w:val="004B2504"/>
    <w:rsid w:val="004B361D"/>
    <w:rsid w:val="004C44D2"/>
    <w:rsid w:val="004C5194"/>
    <w:rsid w:val="004D3578"/>
    <w:rsid w:val="004D380D"/>
    <w:rsid w:val="004D3903"/>
    <w:rsid w:val="004E213A"/>
    <w:rsid w:val="004E5EC3"/>
    <w:rsid w:val="004E7553"/>
    <w:rsid w:val="004F232E"/>
    <w:rsid w:val="004F4540"/>
    <w:rsid w:val="004F73A7"/>
    <w:rsid w:val="00503171"/>
    <w:rsid w:val="00503E86"/>
    <w:rsid w:val="00506C28"/>
    <w:rsid w:val="00515F19"/>
    <w:rsid w:val="00522195"/>
    <w:rsid w:val="00523EC8"/>
    <w:rsid w:val="00530AC5"/>
    <w:rsid w:val="00533757"/>
    <w:rsid w:val="00534DA0"/>
    <w:rsid w:val="00537809"/>
    <w:rsid w:val="00541A65"/>
    <w:rsid w:val="005432D9"/>
    <w:rsid w:val="00543E6C"/>
    <w:rsid w:val="00554EC0"/>
    <w:rsid w:val="0056238A"/>
    <w:rsid w:val="00564F82"/>
    <w:rsid w:val="00565087"/>
    <w:rsid w:val="0056573F"/>
    <w:rsid w:val="00571279"/>
    <w:rsid w:val="00572C44"/>
    <w:rsid w:val="00573250"/>
    <w:rsid w:val="00575FC5"/>
    <w:rsid w:val="00585FEC"/>
    <w:rsid w:val="00592853"/>
    <w:rsid w:val="005A13AB"/>
    <w:rsid w:val="005A35F6"/>
    <w:rsid w:val="005A39D6"/>
    <w:rsid w:val="005A49C6"/>
    <w:rsid w:val="005A5862"/>
    <w:rsid w:val="005B3F45"/>
    <w:rsid w:val="005C0E92"/>
    <w:rsid w:val="005C1499"/>
    <w:rsid w:val="005C2121"/>
    <w:rsid w:val="005C766E"/>
    <w:rsid w:val="005C7CD5"/>
    <w:rsid w:val="005E71CA"/>
    <w:rsid w:val="00602012"/>
    <w:rsid w:val="00605867"/>
    <w:rsid w:val="00606657"/>
    <w:rsid w:val="00611566"/>
    <w:rsid w:val="006229F6"/>
    <w:rsid w:val="0063319D"/>
    <w:rsid w:val="00636134"/>
    <w:rsid w:val="00646D99"/>
    <w:rsid w:val="00656910"/>
    <w:rsid w:val="006574C0"/>
    <w:rsid w:val="00670B9D"/>
    <w:rsid w:val="00686A72"/>
    <w:rsid w:val="00690513"/>
    <w:rsid w:val="00696821"/>
    <w:rsid w:val="006A662B"/>
    <w:rsid w:val="006B0408"/>
    <w:rsid w:val="006B26DD"/>
    <w:rsid w:val="006B7552"/>
    <w:rsid w:val="006C6237"/>
    <w:rsid w:val="006C66D8"/>
    <w:rsid w:val="006D17EF"/>
    <w:rsid w:val="006D1E24"/>
    <w:rsid w:val="006D35DE"/>
    <w:rsid w:val="006D572E"/>
    <w:rsid w:val="006E1057"/>
    <w:rsid w:val="006E1417"/>
    <w:rsid w:val="006F2181"/>
    <w:rsid w:val="006F596D"/>
    <w:rsid w:val="006F6A2C"/>
    <w:rsid w:val="007069DC"/>
    <w:rsid w:val="00710201"/>
    <w:rsid w:val="00711E5E"/>
    <w:rsid w:val="0072073A"/>
    <w:rsid w:val="00723B23"/>
    <w:rsid w:val="00726879"/>
    <w:rsid w:val="00731303"/>
    <w:rsid w:val="00732F33"/>
    <w:rsid w:val="007342B5"/>
    <w:rsid w:val="00734A5B"/>
    <w:rsid w:val="00735FCD"/>
    <w:rsid w:val="00744DDF"/>
    <w:rsid w:val="00744E76"/>
    <w:rsid w:val="00751244"/>
    <w:rsid w:val="00757D40"/>
    <w:rsid w:val="007662B5"/>
    <w:rsid w:val="00777B85"/>
    <w:rsid w:val="00781F0F"/>
    <w:rsid w:val="0078727C"/>
    <w:rsid w:val="0079049D"/>
    <w:rsid w:val="0079299A"/>
    <w:rsid w:val="00793DC5"/>
    <w:rsid w:val="00796823"/>
    <w:rsid w:val="007A2E55"/>
    <w:rsid w:val="007B0B77"/>
    <w:rsid w:val="007B18D8"/>
    <w:rsid w:val="007C095F"/>
    <w:rsid w:val="007C2DD0"/>
    <w:rsid w:val="007D0CF5"/>
    <w:rsid w:val="007E5200"/>
    <w:rsid w:val="007F2E08"/>
    <w:rsid w:val="007F794C"/>
    <w:rsid w:val="008024FA"/>
    <w:rsid w:val="008028A4"/>
    <w:rsid w:val="008050E0"/>
    <w:rsid w:val="0081180F"/>
    <w:rsid w:val="00813245"/>
    <w:rsid w:val="008265F0"/>
    <w:rsid w:val="008267D8"/>
    <w:rsid w:val="00840DE0"/>
    <w:rsid w:val="008473E8"/>
    <w:rsid w:val="0084785A"/>
    <w:rsid w:val="00847CD0"/>
    <w:rsid w:val="008607A8"/>
    <w:rsid w:val="0086354A"/>
    <w:rsid w:val="008768CA"/>
    <w:rsid w:val="00876D7C"/>
    <w:rsid w:val="00877EF9"/>
    <w:rsid w:val="00880559"/>
    <w:rsid w:val="00896299"/>
    <w:rsid w:val="008A665C"/>
    <w:rsid w:val="008B0504"/>
    <w:rsid w:val="008B5306"/>
    <w:rsid w:val="008B549E"/>
    <w:rsid w:val="008B54E8"/>
    <w:rsid w:val="008B7CDD"/>
    <w:rsid w:val="008C21AC"/>
    <w:rsid w:val="008C2E2A"/>
    <w:rsid w:val="008C3057"/>
    <w:rsid w:val="008C6552"/>
    <w:rsid w:val="008D0C8C"/>
    <w:rsid w:val="008D2E4D"/>
    <w:rsid w:val="008D6D57"/>
    <w:rsid w:val="008E4F68"/>
    <w:rsid w:val="008F396F"/>
    <w:rsid w:val="008F3DCD"/>
    <w:rsid w:val="008F5511"/>
    <w:rsid w:val="008F70D5"/>
    <w:rsid w:val="0090271F"/>
    <w:rsid w:val="00902DB9"/>
    <w:rsid w:val="009040ED"/>
    <w:rsid w:val="00904593"/>
    <w:rsid w:val="0090466A"/>
    <w:rsid w:val="00905E50"/>
    <w:rsid w:val="00905E5A"/>
    <w:rsid w:val="009076D6"/>
    <w:rsid w:val="00910413"/>
    <w:rsid w:val="00911F55"/>
    <w:rsid w:val="0091591E"/>
    <w:rsid w:val="00923655"/>
    <w:rsid w:val="009248C6"/>
    <w:rsid w:val="00932767"/>
    <w:rsid w:val="009339CB"/>
    <w:rsid w:val="00936071"/>
    <w:rsid w:val="009376CD"/>
    <w:rsid w:val="00940212"/>
    <w:rsid w:val="009428FB"/>
    <w:rsid w:val="00942EC2"/>
    <w:rsid w:val="00946124"/>
    <w:rsid w:val="00946640"/>
    <w:rsid w:val="00953977"/>
    <w:rsid w:val="00961B32"/>
    <w:rsid w:val="00962509"/>
    <w:rsid w:val="009632E2"/>
    <w:rsid w:val="00970DB3"/>
    <w:rsid w:val="00974BB0"/>
    <w:rsid w:val="00975BCD"/>
    <w:rsid w:val="009809D4"/>
    <w:rsid w:val="009818A2"/>
    <w:rsid w:val="009861A5"/>
    <w:rsid w:val="009866A0"/>
    <w:rsid w:val="00991B4F"/>
    <w:rsid w:val="009928A9"/>
    <w:rsid w:val="009A0AF3"/>
    <w:rsid w:val="009A3328"/>
    <w:rsid w:val="009B07CD"/>
    <w:rsid w:val="009B5E20"/>
    <w:rsid w:val="009C19E9"/>
    <w:rsid w:val="009D1EE9"/>
    <w:rsid w:val="009D3147"/>
    <w:rsid w:val="009D3724"/>
    <w:rsid w:val="009D4729"/>
    <w:rsid w:val="009D74A6"/>
    <w:rsid w:val="009E0E87"/>
    <w:rsid w:val="009F70B7"/>
    <w:rsid w:val="00A04490"/>
    <w:rsid w:val="00A04F6B"/>
    <w:rsid w:val="00A10F02"/>
    <w:rsid w:val="00A17176"/>
    <w:rsid w:val="00A204CA"/>
    <w:rsid w:val="00A209D6"/>
    <w:rsid w:val="00A22738"/>
    <w:rsid w:val="00A26A91"/>
    <w:rsid w:val="00A320DA"/>
    <w:rsid w:val="00A35585"/>
    <w:rsid w:val="00A36F5F"/>
    <w:rsid w:val="00A409C6"/>
    <w:rsid w:val="00A430EC"/>
    <w:rsid w:val="00A45540"/>
    <w:rsid w:val="00A53724"/>
    <w:rsid w:val="00A5463B"/>
    <w:rsid w:val="00A54B2B"/>
    <w:rsid w:val="00A703B6"/>
    <w:rsid w:val="00A773B2"/>
    <w:rsid w:val="00A82346"/>
    <w:rsid w:val="00A82A39"/>
    <w:rsid w:val="00A9671C"/>
    <w:rsid w:val="00AA1553"/>
    <w:rsid w:val="00AA4776"/>
    <w:rsid w:val="00AB05C5"/>
    <w:rsid w:val="00AB729A"/>
    <w:rsid w:val="00AB7AA4"/>
    <w:rsid w:val="00AC61A6"/>
    <w:rsid w:val="00AD4182"/>
    <w:rsid w:val="00AD4A5F"/>
    <w:rsid w:val="00AD7E7C"/>
    <w:rsid w:val="00AE5C42"/>
    <w:rsid w:val="00B00961"/>
    <w:rsid w:val="00B05380"/>
    <w:rsid w:val="00B05962"/>
    <w:rsid w:val="00B15449"/>
    <w:rsid w:val="00B16C2F"/>
    <w:rsid w:val="00B2402C"/>
    <w:rsid w:val="00B27303"/>
    <w:rsid w:val="00B307E3"/>
    <w:rsid w:val="00B36AA2"/>
    <w:rsid w:val="00B44C55"/>
    <w:rsid w:val="00B45F40"/>
    <w:rsid w:val="00B47FD1"/>
    <w:rsid w:val="00B516BB"/>
    <w:rsid w:val="00B5751D"/>
    <w:rsid w:val="00B669E9"/>
    <w:rsid w:val="00B676A9"/>
    <w:rsid w:val="00B7538C"/>
    <w:rsid w:val="00B84DB2"/>
    <w:rsid w:val="00B859D3"/>
    <w:rsid w:val="00B9233D"/>
    <w:rsid w:val="00BB1D7F"/>
    <w:rsid w:val="00BB5B47"/>
    <w:rsid w:val="00BC3555"/>
    <w:rsid w:val="00BC57AE"/>
    <w:rsid w:val="00BD32D7"/>
    <w:rsid w:val="00BD6D20"/>
    <w:rsid w:val="00BE5E30"/>
    <w:rsid w:val="00C0666A"/>
    <w:rsid w:val="00C07241"/>
    <w:rsid w:val="00C12B51"/>
    <w:rsid w:val="00C23144"/>
    <w:rsid w:val="00C24650"/>
    <w:rsid w:val="00C25465"/>
    <w:rsid w:val="00C30EA4"/>
    <w:rsid w:val="00C31806"/>
    <w:rsid w:val="00C32BE1"/>
    <w:rsid w:val="00C33079"/>
    <w:rsid w:val="00C55A12"/>
    <w:rsid w:val="00C61FF5"/>
    <w:rsid w:val="00C6553E"/>
    <w:rsid w:val="00C75A77"/>
    <w:rsid w:val="00C83A13"/>
    <w:rsid w:val="00C86D96"/>
    <w:rsid w:val="00C86F10"/>
    <w:rsid w:val="00C87C03"/>
    <w:rsid w:val="00C9068C"/>
    <w:rsid w:val="00C92967"/>
    <w:rsid w:val="00CA3D0C"/>
    <w:rsid w:val="00CA654B"/>
    <w:rsid w:val="00CB183F"/>
    <w:rsid w:val="00CB72B8"/>
    <w:rsid w:val="00CD0BA8"/>
    <w:rsid w:val="00CD3442"/>
    <w:rsid w:val="00CD4C7B"/>
    <w:rsid w:val="00CD58FE"/>
    <w:rsid w:val="00D01CFF"/>
    <w:rsid w:val="00D03024"/>
    <w:rsid w:val="00D33BE3"/>
    <w:rsid w:val="00D3792D"/>
    <w:rsid w:val="00D54820"/>
    <w:rsid w:val="00D55E47"/>
    <w:rsid w:val="00D564DE"/>
    <w:rsid w:val="00D62E19"/>
    <w:rsid w:val="00D6319F"/>
    <w:rsid w:val="00D6524B"/>
    <w:rsid w:val="00D67CD1"/>
    <w:rsid w:val="00D738D6"/>
    <w:rsid w:val="00D76F51"/>
    <w:rsid w:val="00D80795"/>
    <w:rsid w:val="00D854BE"/>
    <w:rsid w:val="00D87E00"/>
    <w:rsid w:val="00D9134D"/>
    <w:rsid w:val="00D9603D"/>
    <w:rsid w:val="00D96D11"/>
    <w:rsid w:val="00DA1415"/>
    <w:rsid w:val="00DA5F3E"/>
    <w:rsid w:val="00DA6031"/>
    <w:rsid w:val="00DA7A03"/>
    <w:rsid w:val="00DB0DB8"/>
    <w:rsid w:val="00DB1818"/>
    <w:rsid w:val="00DC2525"/>
    <w:rsid w:val="00DC309B"/>
    <w:rsid w:val="00DC368D"/>
    <w:rsid w:val="00DC4DA2"/>
    <w:rsid w:val="00DC5261"/>
    <w:rsid w:val="00DD700E"/>
    <w:rsid w:val="00DE1DC2"/>
    <w:rsid w:val="00DE25D2"/>
    <w:rsid w:val="00DF7BC7"/>
    <w:rsid w:val="00DF7C20"/>
    <w:rsid w:val="00E038FB"/>
    <w:rsid w:val="00E15830"/>
    <w:rsid w:val="00E24E8E"/>
    <w:rsid w:val="00E42A2B"/>
    <w:rsid w:val="00E43BFB"/>
    <w:rsid w:val="00E46C08"/>
    <w:rsid w:val="00E471CF"/>
    <w:rsid w:val="00E62835"/>
    <w:rsid w:val="00E6480E"/>
    <w:rsid w:val="00E70ECC"/>
    <w:rsid w:val="00E71CED"/>
    <w:rsid w:val="00E77645"/>
    <w:rsid w:val="00E83697"/>
    <w:rsid w:val="00E859B6"/>
    <w:rsid w:val="00E862B3"/>
    <w:rsid w:val="00E9026A"/>
    <w:rsid w:val="00E92604"/>
    <w:rsid w:val="00EA66C9"/>
    <w:rsid w:val="00EA68ED"/>
    <w:rsid w:val="00EB386B"/>
    <w:rsid w:val="00EB58BB"/>
    <w:rsid w:val="00EB5D32"/>
    <w:rsid w:val="00EC44C7"/>
    <w:rsid w:val="00EC4A25"/>
    <w:rsid w:val="00ED1C74"/>
    <w:rsid w:val="00EE5DD8"/>
    <w:rsid w:val="00EE5FC7"/>
    <w:rsid w:val="00EF612C"/>
    <w:rsid w:val="00F025A2"/>
    <w:rsid w:val="00F02958"/>
    <w:rsid w:val="00F036E9"/>
    <w:rsid w:val="00F06BDC"/>
    <w:rsid w:val="00F07388"/>
    <w:rsid w:val="00F07F63"/>
    <w:rsid w:val="00F2026E"/>
    <w:rsid w:val="00F2210A"/>
    <w:rsid w:val="00F31372"/>
    <w:rsid w:val="00F36ABF"/>
    <w:rsid w:val="00F37743"/>
    <w:rsid w:val="00F40C2F"/>
    <w:rsid w:val="00F41153"/>
    <w:rsid w:val="00F42493"/>
    <w:rsid w:val="00F42846"/>
    <w:rsid w:val="00F5066B"/>
    <w:rsid w:val="00F54A3D"/>
    <w:rsid w:val="00F54CB0"/>
    <w:rsid w:val="00F579CD"/>
    <w:rsid w:val="00F62719"/>
    <w:rsid w:val="00F653B8"/>
    <w:rsid w:val="00F71B89"/>
    <w:rsid w:val="00F730FD"/>
    <w:rsid w:val="00F7353C"/>
    <w:rsid w:val="00F76F8F"/>
    <w:rsid w:val="00F87048"/>
    <w:rsid w:val="00F87257"/>
    <w:rsid w:val="00F941DF"/>
    <w:rsid w:val="00FA1266"/>
    <w:rsid w:val="00FA4149"/>
    <w:rsid w:val="00FB32DD"/>
    <w:rsid w:val="00FB36FA"/>
    <w:rsid w:val="00FC1192"/>
    <w:rsid w:val="00FC289C"/>
    <w:rsid w:val="00FC7F9A"/>
    <w:rsid w:val="00FD11E9"/>
    <w:rsid w:val="00FD4026"/>
    <w:rsid w:val="00FD4F7E"/>
    <w:rsid w:val="00FD6F4C"/>
    <w:rsid w:val="00FE0F13"/>
    <w:rsid w:val="00FE106D"/>
    <w:rsid w:val="00FE251B"/>
    <w:rsid w:val="00FF3DEA"/>
    <w:rsid w:val="00FF7E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0565E0E-85A6-4963-A995-5BE71F7B4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E43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EB58BB"/>
    <w:rPr>
      <w:lang w:eastAsia="en-US"/>
    </w:rPr>
  </w:style>
  <w:style w:type="paragraph" w:customStyle="1" w:styleId="Agreement">
    <w:name w:val="Agreement"/>
    <w:basedOn w:val="Normal"/>
    <w:next w:val="Doc-text2"/>
    <w:qFormat/>
    <w:rsid w:val="00075388"/>
    <w:pPr>
      <w:numPr>
        <w:numId w:val="20"/>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3F16C2"/>
    <w:rPr>
      <w:color w:val="2B579A"/>
      <w:shd w:val="clear" w:color="auto" w:fill="E1DFDD"/>
    </w:rPr>
  </w:style>
  <w:style w:type="paragraph" w:styleId="Revision">
    <w:name w:val="Revision"/>
    <w:hidden/>
    <w:uiPriority w:val="99"/>
    <w:semiHidden/>
    <w:rsid w:val="00564F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0379">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03517413">
      <w:bodyDiv w:val="1"/>
      <w:marLeft w:val="0"/>
      <w:marRight w:val="0"/>
      <w:marTop w:val="0"/>
      <w:marBottom w:val="0"/>
      <w:divBdr>
        <w:top w:val="none" w:sz="0" w:space="0" w:color="auto"/>
        <w:left w:val="none" w:sz="0" w:space="0" w:color="auto"/>
        <w:bottom w:val="none" w:sz="0" w:space="0" w:color="auto"/>
        <w:right w:val="none" w:sz="0" w:space="0" w:color="auto"/>
      </w:divBdr>
    </w:div>
    <w:div w:id="672530752">
      <w:bodyDiv w:val="1"/>
      <w:marLeft w:val="0"/>
      <w:marRight w:val="0"/>
      <w:marTop w:val="0"/>
      <w:marBottom w:val="0"/>
      <w:divBdr>
        <w:top w:val="none" w:sz="0" w:space="0" w:color="auto"/>
        <w:left w:val="none" w:sz="0" w:space="0" w:color="auto"/>
        <w:bottom w:val="none" w:sz="0" w:space="0" w:color="auto"/>
        <w:right w:val="none" w:sz="0" w:space="0" w:color="auto"/>
      </w:divBdr>
    </w:div>
    <w:div w:id="8486362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201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165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30/Docs/R2-250356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RBI5PAMIO524-1616901215-52575</_dlc_DocId>
    <_dlc_DocIdUrl xmlns="71c5aaf6-e6ce-465b-b873-5148d2a4c105">
      <Url>https://nokia.sharepoint.com/sites/gxp/_layouts/15/DocIdRedir.aspx?ID=RBI5PAMIO524-1616901215-52575</Url>
      <Description>RBI5PAMIO524-1616901215-52575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1220</TotalTime>
  <Pages>4</Pages>
  <Words>1758</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302</cp:revision>
  <dcterms:created xsi:type="dcterms:W3CDTF">2016-08-13T07:53:00Z</dcterms:created>
  <dcterms:modified xsi:type="dcterms:W3CDTF">2025-08-14T21:11:00Z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1cb368f5-d6c8-4a40-b893-5c0dc1ef099e</vt:lpwstr>
  </property>
</Properties>
</file>